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E1" w:rsidRPr="00681A40" w:rsidRDefault="007D14E1">
      <w:pPr>
        <w:pStyle w:val="NoSpacing"/>
        <w:rPr>
          <w:sz w:val="72"/>
          <w:szCs w:val="72"/>
          <w:lang w:val="sq-AL"/>
        </w:rPr>
      </w:pPr>
      <w:bookmarkStart w:id="0" w:name="_GoBack"/>
      <w:bookmarkEnd w:id="0"/>
    </w:p>
    <w:p w:rsidR="007D14E1" w:rsidRPr="00681A40" w:rsidRDefault="007D14E1">
      <w:pPr>
        <w:pStyle w:val="NoSpacing"/>
        <w:rPr>
          <w:sz w:val="72"/>
          <w:szCs w:val="72"/>
          <w:lang w:val="sq-AL"/>
        </w:rPr>
      </w:pPr>
    </w:p>
    <w:p w:rsidR="007D14E1" w:rsidRPr="00681A40" w:rsidRDefault="007D14E1">
      <w:pPr>
        <w:pStyle w:val="NoSpacing"/>
        <w:rPr>
          <w:sz w:val="72"/>
          <w:szCs w:val="72"/>
          <w:lang w:val="sq-AL"/>
        </w:rPr>
      </w:pPr>
    </w:p>
    <w:p w:rsidR="00AF4EA0" w:rsidRDefault="00493D74">
      <w:pPr>
        <w:pStyle w:val="NoSpacing"/>
        <w:rPr>
          <w:rFonts w:asciiTheme="majorHAnsi" w:hAnsiTheme="majorHAnsi"/>
          <w:b/>
          <w:sz w:val="72"/>
          <w:szCs w:val="72"/>
          <w:lang w:val="sq-AL"/>
        </w:rPr>
      </w:pPr>
      <w:r>
        <w:rPr>
          <w:rFonts w:asciiTheme="majorHAnsi" w:hAnsiTheme="majorHAnsi"/>
          <w:b/>
          <w:noProof/>
          <w:lang w:val="sq-AL" w:eastAsia="sq-AL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08315" cy="753745"/>
                <wp:effectExtent l="24765" t="24765" r="39370" b="5016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08315" cy="7537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1BEB9D2A" id="Rectangle 2" o:spid="_x0000_s1026" style="position:absolute;margin-left:0;margin-top:0;width:638.45pt;height:59.3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sq-AL" w:eastAsia="sq-A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-241935</wp:posOffset>
                </wp:positionV>
                <wp:extent cx="90805" cy="10546715"/>
                <wp:effectExtent l="9525" t="11430" r="13970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6B2E2EC" id="Rectangle 5" o:spid="_x0000_s1026" style="position:absolute;margin-left:32.25pt;margin-top:-19.05pt;width:7.15pt;height:830.45pt;z-index:25165926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sq-AL" w:eastAsia="sq-A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7267575</wp:posOffset>
                </wp:positionH>
                <wp:positionV relativeFrom="page">
                  <wp:posOffset>-241935</wp:posOffset>
                </wp:positionV>
                <wp:extent cx="90805" cy="10546715"/>
                <wp:effectExtent l="9525" t="11430" r="13970" b="50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4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70E81F7" id="Rectangle 4" o:spid="_x0000_s1026" style="position:absolute;margin-left:572.25pt;margin-top:-19.05pt;width:7.15pt;height:830.45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" o:allowincell="f" strokecolor="#31849b">
                <w10:wrap anchorx="page" anchory="page"/>
              </v:rect>
            </w:pict>
          </mc:Fallback>
        </mc:AlternateContent>
      </w:r>
      <w:r>
        <w:rPr>
          <w:rFonts w:asciiTheme="majorHAnsi" w:hAnsiTheme="majorHAnsi"/>
          <w:b/>
          <w:noProof/>
          <w:lang w:val="sq-AL" w:eastAsia="sq-AL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-175260</wp:posOffset>
                </wp:positionH>
                <wp:positionV relativeFrom="page">
                  <wp:posOffset>19050</wp:posOffset>
                </wp:positionV>
                <wp:extent cx="8098790" cy="753745"/>
                <wp:effectExtent l="20955" t="19050" r="33655" b="463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8790" cy="75374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674A24D" id="Rectangle 3" o:spid="_x0000_s1026" style="position:absolute;margin-left:-13.8pt;margin-top:1.5pt;width:637.7pt;height:59.35pt;z-index:251657216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" o:allowincell="f" fillcolor="#4f81bd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="00AF4EA0" w:rsidRPr="00AF4EA0">
        <w:rPr>
          <w:rFonts w:asciiTheme="majorHAnsi" w:hAnsiTheme="majorHAnsi"/>
          <w:b/>
          <w:sz w:val="72"/>
          <w:szCs w:val="72"/>
          <w:lang w:val="sq-AL"/>
        </w:rPr>
        <w:t xml:space="preserve">Platformë  </w:t>
      </w:r>
    </w:p>
    <w:p w:rsidR="00283454" w:rsidRPr="00AF4EA0" w:rsidRDefault="00AF4EA0">
      <w:pPr>
        <w:pStyle w:val="NoSpacing"/>
        <w:rPr>
          <w:rFonts w:asciiTheme="majorHAnsi" w:hAnsiTheme="majorHAnsi" w:cs="Arabic Typesetting"/>
          <w:b/>
          <w:color w:val="000000"/>
          <w:sz w:val="44"/>
          <w:lang w:val="sq-AL"/>
        </w:rPr>
      </w:pPr>
      <w:r>
        <w:rPr>
          <w:rFonts w:asciiTheme="majorHAnsi" w:hAnsiTheme="majorHAnsi"/>
          <w:b/>
          <w:sz w:val="72"/>
          <w:szCs w:val="72"/>
          <w:lang w:val="sq-AL"/>
        </w:rPr>
        <w:t>p</w:t>
      </w:r>
      <w:r w:rsidRPr="00AF4EA0">
        <w:rPr>
          <w:rFonts w:asciiTheme="majorHAnsi" w:hAnsiTheme="majorHAnsi"/>
          <w:b/>
          <w:sz w:val="72"/>
          <w:szCs w:val="72"/>
          <w:lang w:val="sq-AL"/>
        </w:rPr>
        <w:t>ër</w:t>
      </w:r>
      <w:r>
        <w:rPr>
          <w:rFonts w:asciiTheme="majorHAnsi" w:hAnsiTheme="majorHAnsi"/>
          <w:b/>
          <w:sz w:val="72"/>
          <w:szCs w:val="72"/>
          <w:lang w:val="sq-AL"/>
        </w:rPr>
        <w:t xml:space="preserve"> </w:t>
      </w:r>
      <w:r w:rsidRPr="00AF4EA0">
        <w:rPr>
          <w:rFonts w:asciiTheme="majorHAnsi" w:hAnsiTheme="majorHAnsi" w:cs="Arabic Typesetting"/>
          <w:b/>
          <w:color w:val="000000"/>
          <w:sz w:val="72"/>
          <w:lang w:val="sq-AL"/>
        </w:rPr>
        <w:t xml:space="preserve">masat   urgjente </w:t>
      </w:r>
    </w:p>
    <w:p w:rsidR="004B4F9C" w:rsidRPr="00AF4EA0" w:rsidRDefault="00CA2086">
      <w:pPr>
        <w:pStyle w:val="NoSpacing"/>
        <w:rPr>
          <w:rFonts w:asciiTheme="majorHAnsi" w:hAnsiTheme="majorHAnsi"/>
          <w:sz w:val="72"/>
          <w:szCs w:val="72"/>
          <w:lang w:val="sq-AL"/>
        </w:rPr>
      </w:pP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p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r afirmimin e t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drejtave t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shqiptar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ve n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Lugin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t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Preshev</w:t>
      </w:r>
      <w:r w:rsidR="00283454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ë</w:t>
      </w:r>
      <w:r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>s</w:t>
      </w:r>
      <w:r w:rsidR="004B4F9C" w:rsidRPr="00AF4EA0">
        <w:rPr>
          <w:rFonts w:asciiTheme="majorHAnsi" w:hAnsiTheme="majorHAnsi" w:cs="Arabic Typesetting"/>
          <w:b/>
          <w:color w:val="000000"/>
          <w:sz w:val="44"/>
          <w:lang w:val="sq-AL"/>
        </w:rPr>
        <w:t xml:space="preserve">                      </w:t>
      </w:r>
    </w:p>
    <w:p w:rsidR="004B4F9C" w:rsidRPr="00AF4EA0" w:rsidRDefault="004B4F9C">
      <w:pPr>
        <w:pStyle w:val="NoSpacing"/>
        <w:rPr>
          <w:rFonts w:asciiTheme="majorHAnsi" w:hAnsiTheme="majorHAnsi"/>
          <w:sz w:val="36"/>
          <w:szCs w:val="36"/>
          <w:lang w:val="sq-AL"/>
        </w:rPr>
      </w:pPr>
    </w:p>
    <w:p w:rsidR="007D14E1" w:rsidRPr="00AF4EA0" w:rsidRDefault="007D14E1">
      <w:pPr>
        <w:pStyle w:val="NoSpacing"/>
        <w:rPr>
          <w:rFonts w:asciiTheme="majorHAnsi" w:hAnsiTheme="majorHAnsi"/>
          <w:sz w:val="36"/>
          <w:szCs w:val="36"/>
          <w:lang w:val="sq-AL"/>
        </w:rPr>
      </w:pPr>
    </w:p>
    <w:p w:rsidR="007D14E1" w:rsidRPr="00681A40" w:rsidRDefault="007D14E1">
      <w:pPr>
        <w:pStyle w:val="NoSpacing"/>
        <w:rPr>
          <w:sz w:val="36"/>
          <w:szCs w:val="36"/>
          <w:lang w:val="sq-AL"/>
        </w:rPr>
      </w:pPr>
    </w:p>
    <w:p w:rsidR="007D14E1" w:rsidRPr="00681A40" w:rsidRDefault="007D14E1">
      <w:pPr>
        <w:pStyle w:val="NoSpacing"/>
        <w:rPr>
          <w:sz w:val="36"/>
          <w:szCs w:val="36"/>
          <w:lang w:val="sq-AL"/>
        </w:rPr>
      </w:pPr>
    </w:p>
    <w:p w:rsidR="007D14E1" w:rsidRPr="00681A40" w:rsidRDefault="007D14E1">
      <w:pPr>
        <w:pStyle w:val="NoSpacing"/>
        <w:rPr>
          <w:sz w:val="36"/>
          <w:szCs w:val="36"/>
          <w:lang w:val="sq-AL"/>
        </w:rPr>
      </w:pPr>
    </w:p>
    <w:p w:rsidR="007D14E1" w:rsidRPr="00681A40" w:rsidRDefault="007D14E1">
      <w:pPr>
        <w:pStyle w:val="NoSpacing"/>
        <w:rPr>
          <w:sz w:val="36"/>
          <w:szCs w:val="36"/>
          <w:lang w:val="sq-AL"/>
        </w:rPr>
      </w:pPr>
    </w:p>
    <w:p w:rsidR="004B4F9C" w:rsidRPr="00681A40" w:rsidRDefault="00AF4EA0">
      <w:pPr>
        <w:pStyle w:val="NoSpacing"/>
        <w:rPr>
          <w:b/>
          <w:lang w:val="sq-AL"/>
        </w:rPr>
      </w:pPr>
      <w:r>
        <w:rPr>
          <w:b/>
          <w:lang w:val="sq-AL"/>
        </w:rPr>
        <w:t>mars</w:t>
      </w:r>
      <w:r w:rsidR="00B24885" w:rsidRPr="00681A40">
        <w:rPr>
          <w:b/>
          <w:lang w:val="sq-AL"/>
        </w:rPr>
        <w:t>, 2013</w:t>
      </w:r>
    </w:p>
    <w:p w:rsidR="004B4F9C" w:rsidRPr="00681A40" w:rsidRDefault="007468DD">
      <w:pPr>
        <w:rPr>
          <w:b/>
          <w:lang w:val="sq-AL"/>
        </w:rPr>
      </w:pPr>
      <w:r w:rsidRPr="00681A40">
        <w:rPr>
          <w:b/>
          <w:lang w:val="sq-AL"/>
        </w:rPr>
        <w:t>P</w:t>
      </w:r>
      <w:r w:rsidR="00CA2086" w:rsidRPr="00681A40">
        <w:rPr>
          <w:b/>
          <w:lang w:val="sq-AL"/>
        </w:rPr>
        <w:t>VD</w:t>
      </w:r>
      <w:r w:rsidRPr="00681A40">
        <w:rPr>
          <w:b/>
          <w:lang w:val="sq-AL"/>
        </w:rPr>
        <w:t xml:space="preserve">; </w:t>
      </w:r>
      <w:r w:rsidR="00CA2086" w:rsidRPr="00681A40">
        <w:rPr>
          <w:b/>
          <w:lang w:val="sq-AL"/>
        </w:rPr>
        <w:t>PDSH</w:t>
      </w:r>
      <w:r w:rsidRPr="00681A40">
        <w:rPr>
          <w:b/>
          <w:lang w:val="sq-AL"/>
        </w:rPr>
        <w:t>;</w:t>
      </w:r>
      <w:r w:rsidR="00681A40" w:rsidRPr="00681A40">
        <w:rPr>
          <w:b/>
          <w:lang w:val="sq-AL"/>
        </w:rPr>
        <w:t xml:space="preserve"> PD;</w:t>
      </w:r>
      <w:r w:rsidRPr="00681A40">
        <w:rPr>
          <w:b/>
          <w:lang w:val="sq-AL"/>
        </w:rPr>
        <w:t xml:space="preserve"> </w:t>
      </w:r>
      <w:r w:rsidR="00681A40" w:rsidRPr="00681A40">
        <w:rPr>
          <w:b/>
          <w:lang w:val="sq-AL"/>
        </w:rPr>
        <w:t xml:space="preserve">UDSH; </w:t>
      </w:r>
      <w:r w:rsidR="00CA2086" w:rsidRPr="00681A40">
        <w:rPr>
          <w:b/>
          <w:lang w:val="sq-AL"/>
        </w:rPr>
        <w:t>L</w:t>
      </w:r>
      <w:r w:rsidRPr="00681A40">
        <w:rPr>
          <w:b/>
          <w:lang w:val="sq-AL"/>
        </w:rPr>
        <w:t xml:space="preserve">PD; </w:t>
      </w:r>
      <w:r w:rsidR="00CA2086" w:rsidRPr="00681A40">
        <w:rPr>
          <w:b/>
          <w:lang w:val="sq-AL"/>
        </w:rPr>
        <w:t>BDL</w:t>
      </w:r>
      <w:r w:rsidRPr="00681A40">
        <w:rPr>
          <w:b/>
          <w:lang w:val="sq-AL"/>
        </w:rPr>
        <w:t>;</w:t>
      </w:r>
      <w:r w:rsidR="00CA2086" w:rsidRPr="00681A40">
        <w:rPr>
          <w:b/>
          <w:lang w:val="sq-AL"/>
        </w:rPr>
        <w:t xml:space="preserve"> RD</w:t>
      </w:r>
    </w:p>
    <w:p w:rsidR="004B4F9C" w:rsidRPr="00681A40" w:rsidRDefault="004B4F9C">
      <w:pPr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br w:type="page"/>
      </w:r>
    </w:p>
    <w:p w:rsidR="00F409BE" w:rsidRPr="00681A40" w:rsidRDefault="00CA2086" w:rsidP="00B24885">
      <w:pPr>
        <w:spacing w:after="0"/>
        <w:ind w:firstLine="720"/>
        <w:rPr>
          <w:rFonts w:ascii="Arial Black" w:hAnsi="Arial Black" w:cs="Arabic Typesetting"/>
          <w:b/>
          <w:color w:val="000000"/>
          <w:sz w:val="24"/>
          <w:lang w:val="sq-AL"/>
        </w:rPr>
      </w:pPr>
      <w:r w:rsidRPr="00681A40">
        <w:rPr>
          <w:rFonts w:ascii="Arial Black" w:hAnsi="Arial Black" w:cs="Arabic Typesetting"/>
          <w:b/>
          <w:color w:val="000000"/>
          <w:sz w:val="24"/>
          <w:lang w:val="sq-AL"/>
        </w:rPr>
        <w:lastRenderedPageBreak/>
        <w:t>V</w:t>
      </w:r>
      <w:r w:rsidR="00283454" w:rsidRPr="00681A40">
        <w:rPr>
          <w:rFonts w:ascii="Arial Black" w:hAnsi="Arial Black" w:cs="Arabic Typesetting"/>
          <w:b/>
          <w:color w:val="000000"/>
          <w:sz w:val="24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sz w:val="24"/>
          <w:lang w:val="sq-AL"/>
        </w:rPr>
        <w:t>shtrim i p</w:t>
      </w:r>
      <w:r w:rsidR="00283454" w:rsidRPr="00681A40">
        <w:rPr>
          <w:rFonts w:ascii="Arial Black" w:hAnsi="Arial Black" w:cs="Arabic Typesetting"/>
          <w:b/>
          <w:color w:val="000000"/>
          <w:sz w:val="24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sz w:val="24"/>
          <w:lang w:val="sq-AL"/>
        </w:rPr>
        <w:t>rgjithsh</w:t>
      </w:r>
      <w:r w:rsidR="00283454" w:rsidRPr="00681A40">
        <w:rPr>
          <w:rFonts w:ascii="Arial Black" w:hAnsi="Arial Black" w:cs="Arabic Typesetting"/>
          <w:b/>
          <w:color w:val="000000"/>
          <w:sz w:val="24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sz w:val="24"/>
          <w:lang w:val="sq-AL"/>
        </w:rPr>
        <w:t>m</w:t>
      </w:r>
      <w:r w:rsidR="00B24885" w:rsidRPr="00681A40">
        <w:rPr>
          <w:rFonts w:ascii="Arial Black" w:hAnsi="Arial Black" w:cs="Arabic Typesetting"/>
          <w:b/>
          <w:color w:val="000000"/>
          <w:sz w:val="24"/>
          <w:lang w:val="sq-AL"/>
        </w:rPr>
        <w:t xml:space="preserve"> </w:t>
      </w:r>
    </w:p>
    <w:p w:rsidR="00681A40" w:rsidRPr="00681A40" w:rsidRDefault="00681A40" w:rsidP="00B24885">
      <w:pPr>
        <w:spacing w:after="0"/>
        <w:ind w:firstLine="720"/>
        <w:rPr>
          <w:rFonts w:ascii="Arial Black" w:hAnsi="Arial Black" w:cs="Arabic Typesetting"/>
          <w:b/>
          <w:color w:val="000000"/>
          <w:sz w:val="24"/>
          <w:lang w:val="sq-AL"/>
        </w:rPr>
      </w:pPr>
    </w:p>
    <w:p w:rsidR="00681A40" w:rsidRPr="00681A40" w:rsidRDefault="00681A40" w:rsidP="00B24885">
      <w:pPr>
        <w:spacing w:after="0"/>
        <w:ind w:firstLine="720"/>
        <w:rPr>
          <w:rFonts w:ascii="Arial Black" w:hAnsi="Arial Black" w:cs="Arabic Typesetting"/>
          <w:b/>
          <w:color w:val="000000"/>
          <w:sz w:val="24"/>
          <w:lang w:val="sq-AL"/>
        </w:rPr>
      </w:pPr>
    </w:p>
    <w:p w:rsidR="00BE6161" w:rsidRPr="00681A40" w:rsidRDefault="00230172" w:rsidP="00BE6161">
      <w:pPr>
        <w:spacing w:after="0"/>
        <w:rPr>
          <w:rFonts w:asciiTheme="majorHAnsi" w:hAnsiTheme="majorHAnsi"/>
          <w:b/>
          <w:lang w:val="sq-AL"/>
        </w:rPr>
      </w:pPr>
      <w:r w:rsidRPr="00681A40">
        <w:rPr>
          <w:rFonts w:asciiTheme="majorHAnsi" w:hAnsiTheme="majorHAnsi"/>
          <w:b/>
          <w:lang w:val="sq-AL"/>
        </w:rPr>
        <w:t>LUGINA E PRESHEV</w:t>
      </w:r>
      <w:r w:rsidR="00D62770" w:rsidRPr="00681A40">
        <w:rPr>
          <w:rFonts w:asciiTheme="majorHAnsi" w:hAnsiTheme="majorHAnsi"/>
          <w:b/>
          <w:lang w:val="sq-AL"/>
        </w:rPr>
        <w:t>Ë</w:t>
      </w:r>
      <w:r w:rsidRPr="00681A40">
        <w:rPr>
          <w:rFonts w:asciiTheme="majorHAnsi" w:hAnsiTheme="majorHAnsi"/>
          <w:b/>
          <w:lang w:val="sq-AL"/>
        </w:rPr>
        <w:t>S</w:t>
      </w:r>
    </w:p>
    <w:p w:rsidR="00BE6161" w:rsidRPr="00681A40" w:rsidRDefault="00EB16F8" w:rsidP="00BE6161">
      <w:pPr>
        <w:spacing w:after="0"/>
        <w:rPr>
          <w:rFonts w:asciiTheme="majorHAnsi" w:hAnsiTheme="majorHAnsi"/>
          <w:b/>
          <w:lang w:val="sq-AL"/>
        </w:rPr>
      </w:pPr>
      <w:r w:rsidRPr="00681A40">
        <w:rPr>
          <w:rFonts w:asciiTheme="majorHAnsi" w:hAnsiTheme="majorHAnsi"/>
          <w:b/>
          <w:lang w:val="sq-AL"/>
        </w:rPr>
        <w:t xml:space="preserve"> (PRESHEVA, MEDVEGJA DHE BUJANO</w:t>
      </w:r>
      <w:r w:rsidR="00BE6161" w:rsidRPr="00681A40">
        <w:rPr>
          <w:rFonts w:asciiTheme="majorHAnsi" w:hAnsiTheme="majorHAnsi"/>
          <w:b/>
          <w:lang w:val="sq-AL"/>
        </w:rPr>
        <w:t>C</w:t>
      </w:r>
      <w:r w:rsidR="00230172" w:rsidRPr="00681A40">
        <w:rPr>
          <w:rFonts w:asciiTheme="majorHAnsi" w:hAnsiTheme="majorHAnsi"/>
          <w:b/>
          <w:lang w:val="sq-AL"/>
        </w:rPr>
        <w:t>I</w:t>
      </w:r>
      <w:r w:rsidR="00BE6161" w:rsidRPr="00681A40">
        <w:rPr>
          <w:rFonts w:asciiTheme="majorHAnsi" w:hAnsiTheme="majorHAnsi"/>
          <w:b/>
          <w:lang w:val="sq-AL"/>
        </w:rPr>
        <w:t>)</w:t>
      </w:r>
    </w:p>
    <w:p w:rsidR="00BE6161" w:rsidRPr="00681A40" w:rsidRDefault="00BE6161" w:rsidP="00BE6161">
      <w:pPr>
        <w:spacing w:after="0"/>
        <w:rPr>
          <w:rFonts w:asciiTheme="majorHAnsi" w:hAnsiTheme="majorHAnsi"/>
          <w:b/>
          <w:lang w:val="sq-AL"/>
        </w:rPr>
      </w:pPr>
    </w:p>
    <w:p w:rsidR="00681A40" w:rsidRPr="00681A40" w:rsidRDefault="00EB16F8" w:rsidP="00681A40">
      <w:pPr>
        <w:spacing w:after="0" w:line="240" w:lineRule="auto"/>
        <w:ind w:firstLine="720"/>
        <w:jc w:val="both"/>
        <w:rPr>
          <w:rFonts w:asciiTheme="majorHAnsi" w:hAnsiTheme="majorHAnsi" w:cs="Arabic Typesetting"/>
          <w:color w:val="000000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Lugina e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s 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sht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nj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rajon i 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rb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  <w:r w:rsidR="0007633D" w:rsidRPr="00681A40">
        <w:rPr>
          <w:rFonts w:asciiTheme="majorHAnsi" w:hAnsiTheme="majorHAnsi"/>
          <w:sz w:val="20"/>
          <w:lang w:val="sq-AL"/>
        </w:rPr>
        <w:t>nga</w:t>
      </w:r>
      <w:r w:rsidRPr="00681A40">
        <w:rPr>
          <w:rFonts w:asciiTheme="majorHAnsi" w:hAnsiTheme="majorHAnsi"/>
          <w:sz w:val="20"/>
          <w:lang w:val="sq-AL"/>
        </w:rPr>
        <w:t xml:space="preserve"> komuna</w:t>
      </w:r>
      <w:r w:rsidR="0007633D" w:rsidRPr="00681A40">
        <w:rPr>
          <w:rFonts w:asciiTheme="majorHAnsi" w:hAnsiTheme="majorHAnsi"/>
          <w:sz w:val="20"/>
          <w:lang w:val="sq-AL"/>
        </w:rPr>
        <w:t>t e</w:t>
      </w:r>
      <w:r w:rsidRPr="00681A40">
        <w:rPr>
          <w:rFonts w:asciiTheme="majorHAnsi" w:hAnsiTheme="majorHAnsi"/>
          <w:sz w:val="20"/>
          <w:lang w:val="sq-AL"/>
        </w:rPr>
        <w:t xml:space="preserve"> Bujanocit</w:t>
      </w:r>
      <w:r w:rsidR="00681A40" w:rsidRPr="00681A40">
        <w:rPr>
          <w:rFonts w:asciiTheme="majorHAnsi" w:hAnsiTheme="majorHAnsi"/>
          <w:sz w:val="20"/>
          <w:lang w:val="sq-AL"/>
        </w:rPr>
        <w:t>,</w:t>
      </w:r>
      <w:r w:rsidRPr="00681A40">
        <w:rPr>
          <w:rFonts w:asciiTheme="majorHAnsi" w:hAnsiTheme="majorHAnsi"/>
          <w:sz w:val="20"/>
          <w:lang w:val="sq-AL"/>
        </w:rPr>
        <w:t xml:space="preserve">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</w:t>
      </w:r>
      <w:r w:rsidR="00681A40" w:rsidRPr="00681A40">
        <w:rPr>
          <w:rFonts w:asciiTheme="majorHAnsi" w:hAnsiTheme="majorHAnsi"/>
          <w:sz w:val="20"/>
          <w:lang w:val="sq-AL"/>
        </w:rPr>
        <w:t xml:space="preserve"> dhe Medvegjës</w:t>
      </w:r>
      <w:r w:rsidRPr="00681A40">
        <w:rPr>
          <w:rFonts w:asciiTheme="majorHAnsi" w:hAnsiTheme="majorHAnsi"/>
          <w:sz w:val="20"/>
          <w:lang w:val="sq-AL"/>
        </w:rPr>
        <w:t>. Gjeopolitikisht, ky rajon paraqet qendr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n e </w:t>
      </w:r>
      <w:r w:rsidR="00D62770" w:rsidRPr="00681A40">
        <w:rPr>
          <w:rFonts w:asciiTheme="majorHAnsi" w:hAnsiTheme="majorHAnsi"/>
          <w:sz w:val="20"/>
          <w:lang w:val="sq-AL"/>
        </w:rPr>
        <w:t>komunitetit shqiptar</w:t>
      </w:r>
      <w:r w:rsidRPr="00681A40">
        <w:rPr>
          <w:rFonts w:asciiTheme="majorHAnsi" w:hAnsiTheme="majorHAnsi"/>
          <w:sz w:val="20"/>
          <w:lang w:val="sq-AL"/>
        </w:rPr>
        <w:t xml:space="preserve">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Serbi</w:t>
      </w:r>
      <w:r w:rsidR="008B7220" w:rsidRPr="00681A40">
        <w:rPr>
          <w:rFonts w:asciiTheme="majorHAnsi" w:hAnsiTheme="majorHAnsi"/>
          <w:sz w:val="20"/>
          <w:lang w:val="sq-AL"/>
        </w:rPr>
        <w:t>,</w:t>
      </w:r>
      <w:r w:rsidRPr="00681A40">
        <w:rPr>
          <w:rFonts w:asciiTheme="majorHAnsi" w:hAnsiTheme="majorHAnsi"/>
          <w:sz w:val="20"/>
          <w:lang w:val="sq-AL"/>
        </w:rPr>
        <w:t xml:space="preserve"> me popullsi shqiptare 54.6%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Bujanoc dhe 89%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(si dhe 26%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Medvegj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)</w:t>
      </w:r>
      <w:r w:rsidR="00230172" w:rsidRPr="00681A40">
        <w:rPr>
          <w:rFonts w:asciiTheme="majorHAnsi" w:hAnsiTheme="majorHAnsi"/>
          <w:sz w:val="20"/>
          <w:lang w:val="sq-AL"/>
        </w:rPr>
        <w:t xml:space="preserve">. </w:t>
      </w:r>
      <w:r w:rsidR="00681A40" w:rsidRPr="00681A40">
        <w:rPr>
          <w:rFonts w:asciiTheme="majorHAnsi" w:hAnsiTheme="majorHAnsi"/>
          <w:sz w:val="20"/>
          <w:lang w:val="sq-AL"/>
        </w:rPr>
        <w:t xml:space="preserve"> </w:t>
      </w:r>
      <w:r w:rsidR="00681A40" w:rsidRPr="00681A40">
        <w:rPr>
          <w:rFonts w:asciiTheme="majorHAnsi" w:hAnsiTheme="majorHAnsi" w:cs="Arabic Typesetting"/>
          <w:color w:val="000000"/>
          <w:sz w:val="20"/>
          <w:lang w:val="sq-AL"/>
        </w:rPr>
        <w:t xml:space="preserve">Lugina e Preshevës ka 1249 km2 me 111 000 banorë,  dendësi 76 b. km2 dhe me 62% shqiptarë. </w:t>
      </w:r>
    </w:p>
    <w:p w:rsidR="00BE6161" w:rsidRPr="00681A40" w:rsidRDefault="00BE6161" w:rsidP="00BE6161">
      <w:pPr>
        <w:spacing w:after="0"/>
        <w:ind w:firstLine="720"/>
        <w:jc w:val="both"/>
        <w:rPr>
          <w:rFonts w:asciiTheme="majorHAnsi" w:hAnsiTheme="majorHAnsi"/>
          <w:sz w:val="20"/>
          <w:lang w:val="sq-AL"/>
        </w:rPr>
      </w:pPr>
    </w:p>
    <w:p w:rsidR="00BE6161" w:rsidRPr="00681A40" w:rsidRDefault="008B722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gjuh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n shqipe rajoni njihet si „Lugina e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s“ ose thjesht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„Lugina“. Shqiptar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t </w:t>
      </w:r>
      <w:r w:rsidR="0007633D" w:rsidRPr="00681A40">
        <w:rPr>
          <w:rFonts w:asciiTheme="majorHAnsi" w:hAnsiTheme="majorHAnsi"/>
          <w:sz w:val="20"/>
          <w:lang w:val="sq-AL"/>
        </w:rPr>
        <w:t>shpesh e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  <w:r w:rsidR="0007633D" w:rsidRPr="00681A40">
        <w:rPr>
          <w:rFonts w:asciiTheme="majorHAnsi" w:hAnsiTheme="majorHAnsi"/>
          <w:sz w:val="20"/>
          <w:lang w:val="sq-AL"/>
        </w:rPr>
        <w:t>th</w:t>
      </w:r>
      <w:r w:rsidR="003E75BC" w:rsidRPr="00681A40">
        <w:rPr>
          <w:rFonts w:asciiTheme="majorHAnsi" w:hAnsiTheme="majorHAnsi"/>
          <w:sz w:val="20"/>
          <w:lang w:val="sq-AL"/>
        </w:rPr>
        <w:t>ë</w:t>
      </w:r>
      <w:r w:rsidR="0007633D" w:rsidRPr="00681A40">
        <w:rPr>
          <w:rFonts w:asciiTheme="majorHAnsi" w:hAnsiTheme="majorHAnsi"/>
          <w:sz w:val="20"/>
          <w:lang w:val="sq-AL"/>
        </w:rPr>
        <w:t>rrasin k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07633D" w:rsidRPr="00681A40">
        <w:rPr>
          <w:rFonts w:asciiTheme="majorHAnsi" w:hAnsiTheme="majorHAnsi"/>
          <w:sz w:val="20"/>
          <w:lang w:val="sq-AL"/>
        </w:rPr>
        <w:t>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07633D" w:rsidRPr="00681A40">
        <w:rPr>
          <w:rFonts w:asciiTheme="majorHAnsi" w:hAnsiTheme="majorHAnsi"/>
          <w:sz w:val="20"/>
          <w:lang w:val="sq-AL"/>
        </w:rPr>
        <w:t xml:space="preserve"> rajon </w:t>
      </w:r>
      <w:r w:rsidRPr="00681A40">
        <w:rPr>
          <w:rFonts w:asciiTheme="majorHAnsi" w:hAnsiTheme="majorHAnsi"/>
          <w:sz w:val="20"/>
          <w:lang w:val="sq-AL"/>
        </w:rPr>
        <w:t>dhe si Kosov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Lindore, gj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q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i referohet shk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putjes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k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tij rajoni nga Kosova dhe inkorporimit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tij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Serbi pas vitit 1948</w:t>
      </w:r>
      <w:r w:rsidR="00833360" w:rsidRPr="00681A40">
        <w:rPr>
          <w:rFonts w:asciiTheme="majorHAnsi" w:hAnsiTheme="majorHAnsi"/>
          <w:sz w:val="20"/>
          <w:lang w:val="sq-AL"/>
        </w:rPr>
        <w:t xml:space="preserve">. </w:t>
      </w:r>
      <w:r w:rsidRPr="00681A40">
        <w:rPr>
          <w:rFonts w:asciiTheme="majorHAnsi" w:hAnsiTheme="majorHAnsi"/>
          <w:sz w:val="20"/>
          <w:lang w:val="sq-AL"/>
        </w:rPr>
        <w:t xml:space="preserve">  </w:t>
      </w:r>
    </w:p>
    <w:p w:rsidR="00BE6161" w:rsidRPr="00681A40" w:rsidRDefault="008B722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Gjeografikisht, Lugina e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 kufizohet</w:t>
      </w:r>
      <w:r w:rsidR="00833360" w:rsidRPr="00681A40">
        <w:rPr>
          <w:rFonts w:asciiTheme="majorHAnsi" w:hAnsiTheme="majorHAnsi"/>
          <w:sz w:val="20"/>
          <w:lang w:val="sq-AL"/>
        </w:rPr>
        <w:t xml:space="preserve"> brenda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  <w:r w:rsidR="00833360" w:rsidRPr="00681A40">
        <w:rPr>
          <w:rFonts w:asciiTheme="majorHAnsi" w:hAnsiTheme="majorHAnsi"/>
          <w:sz w:val="20"/>
          <w:lang w:val="sq-AL"/>
        </w:rPr>
        <w:t>pellgut (bazenit) të</w:t>
      </w:r>
      <w:r w:rsidRPr="00681A40">
        <w:rPr>
          <w:rFonts w:asciiTheme="majorHAnsi" w:hAnsiTheme="majorHAnsi"/>
          <w:sz w:val="20"/>
          <w:lang w:val="sq-AL"/>
        </w:rPr>
        <w:t xml:space="preserve"> lumit </w:t>
      </w:r>
      <w:r w:rsidR="00230172" w:rsidRPr="00681A40">
        <w:rPr>
          <w:rFonts w:asciiTheme="majorHAnsi" w:hAnsiTheme="majorHAnsi"/>
          <w:sz w:val="20"/>
          <w:lang w:val="sq-AL"/>
        </w:rPr>
        <w:t>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Moravic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s, q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nga burimi</w:t>
      </w:r>
      <w:r w:rsidRPr="00681A40">
        <w:rPr>
          <w:rFonts w:asciiTheme="majorHAnsi" w:hAnsiTheme="majorHAnsi"/>
          <w:sz w:val="20"/>
          <w:lang w:val="sq-AL"/>
        </w:rPr>
        <w:t xml:space="preserve">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af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rsi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qytetit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Preshev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833360" w:rsidRPr="00681A40">
        <w:rPr>
          <w:rFonts w:asciiTheme="majorHAnsi" w:hAnsiTheme="majorHAnsi"/>
          <w:sz w:val="20"/>
          <w:lang w:val="sq-AL"/>
        </w:rPr>
        <w:t xml:space="preserve">s </w:t>
      </w:r>
      <w:r w:rsidR="00230172" w:rsidRPr="00681A40">
        <w:rPr>
          <w:rFonts w:asciiTheme="majorHAnsi" w:hAnsiTheme="majorHAnsi"/>
          <w:sz w:val="20"/>
          <w:lang w:val="sq-AL"/>
        </w:rPr>
        <w:t>e deri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</w:t>
      </w:r>
      <w:r w:rsidR="00833360" w:rsidRPr="00681A40">
        <w:rPr>
          <w:rFonts w:asciiTheme="majorHAnsi" w:hAnsiTheme="majorHAnsi"/>
          <w:sz w:val="20"/>
          <w:lang w:val="sq-AL"/>
        </w:rPr>
        <w:t>grykëderdhja</w:t>
      </w:r>
      <w:r w:rsidR="00230172" w:rsidRPr="00681A40">
        <w:rPr>
          <w:rFonts w:asciiTheme="majorHAnsi" w:hAnsiTheme="majorHAnsi"/>
          <w:sz w:val="20"/>
          <w:lang w:val="sq-AL"/>
        </w:rPr>
        <w:t xml:space="preserve"> e Morav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Jugut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Bujanoc. </w:t>
      </w:r>
      <w:r w:rsidR="00833360" w:rsidRPr="00681A40">
        <w:rPr>
          <w:rFonts w:asciiTheme="majorHAnsi" w:hAnsiTheme="majorHAnsi"/>
          <w:sz w:val="20"/>
          <w:lang w:val="sq-AL"/>
        </w:rPr>
        <w:t xml:space="preserve"> </w:t>
      </w:r>
      <w:r w:rsidR="00230172" w:rsidRPr="00681A40">
        <w:rPr>
          <w:rFonts w:asciiTheme="majorHAnsi" w:hAnsiTheme="majorHAnsi"/>
          <w:sz w:val="20"/>
          <w:lang w:val="sq-AL"/>
        </w:rPr>
        <w:t xml:space="preserve">Ajo 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sht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pjes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e </w:t>
      </w:r>
      <w:r w:rsidR="0007633D" w:rsidRPr="00681A40">
        <w:rPr>
          <w:rFonts w:asciiTheme="majorHAnsi" w:hAnsiTheme="majorHAnsi"/>
          <w:sz w:val="20"/>
          <w:lang w:val="sq-AL"/>
        </w:rPr>
        <w:t>rrug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07633D" w:rsidRPr="00681A40">
        <w:rPr>
          <w:rFonts w:asciiTheme="majorHAnsi" w:hAnsiTheme="majorHAnsi"/>
          <w:sz w:val="20"/>
          <w:lang w:val="sq-AL"/>
        </w:rPr>
        <w:t>s trans-B</w:t>
      </w:r>
      <w:r w:rsidR="00833360" w:rsidRPr="00681A40">
        <w:rPr>
          <w:rFonts w:asciiTheme="majorHAnsi" w:hAnsiTheme="majorHAnsi"/>
          <w:sz w:val="20"/>
          <w:lang w:val="sq-AL"/>
        </w:rPr>
        <w:t>allkanike Moravë-</w:t>
      </w:r>
      <w:r w:rsidR="00E4564D" w:rsidRPr="00681A40">
        <w:rPr>
          <w:rFonts w:asciiTheme="majorHAnsi" w:hAnsiTheme="majorHAnsi"/>
          <w:sz w:val="20"/>
          <w:lang w:val="sq-AL"/>
        </w:rPr>
        <w:t>Vardar</w:t>
      </w:r>
      <w:r w:rsidR="00230172" w:rsidRPr="00681A40">
        <w:rPr>
          <w:rFonts w:asciiTheme="majorHAnsi" w:hAnsiTheme="majorHAnsi"/>
          <w:sz w:val="20"/>
          <w:lang w:val="sq-AL"/>
        </w:rPr>
        <w:t xml:space="preserve"> Veri-Jug, e cila ndjek rrjedhat e Morav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Madhe dhe Morav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Jugut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>r Serbi. Kjo rrug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mbart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30172" w:rsidRPr="00681A40">
        <w:rPr>
          <w:rFonts w:asciiTheme="majorHAnsi" w:hAnsiTheme="majorHAnsi"/>
          <w:sz w:val="20"/>
          <w:lang w:val="sq-AL"/>
        </w:rPr>
        <w:t xml:space="preserve"> Korridorin Pan-Europian X dhe E75.   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</w:p>
    <w:p w:rsidR="00BE6161" w:rsidRPr="00681A40" w:rsidRDefault="00D6277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Në</w:t>
      </w:r>
      <w:r w:rsidR="0007633D" w:rsidRPr="00681A40">
        <w:rPr>
          <w:rFonts w:asciiTheme="majorHAnsi" w:hAnsiTheme="majorHAnsi"/>
          <w:sz w:val="20"/>
          <w:lang w:val="sq-AL"/>
        </w:rPr>
        <w:t xml:space="preserve"> </w:t>
      </w:r>
      <w:r w:rsidRPr="00681A40">
        <w:rPr>
          <w:rFonts w:asciiTheme="majorHAnsi" w:hAnsiTheme="majorHAnsi"/>
          <w:sz w:val="20"/>
          <w:lang w:val="sq-AL"/>
        </w:rPr>
        <w:t xml:space="preserve">vitin </w:t>
      </w:r>
      <w:r w:rsidR="00256F2D" w:rsidRPr="00681A40">
        <w:rPr>
          <w:rFonts w:asciiTheme="majorHAnsi" w:hAnsiTheme="majorHAnsi"/>
          <w:sz w:val="20"/>
          <w:lang w:val="sq-AL"/>
        </w:rPr>
        <w:t>1938 gjat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kolonizimit t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Kosov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>s, Presheva ishte caktuar n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833360" w:rsidRPr="00681A40">
        <w:rPr>
          <w:rFonts w:asciiTheme="majorHAnsi" w:hAnsiTheme="majorHAnsi"/>
          <w:sz w:val="20"/>
          <w:lang w:val="sq-AL"/>
        </w:rPr>
        <w:t xml:space="preserve"> bazë të Traktatit</w:t>
      </w:r>
      <w:r w:rsidR="00256F2D" w:rsidRPr="00681A40">
        <w:rPr>
          <w:rFonts w:asciiTheme="majorHAnsi" w:hAnsiTheme="majorHAnsi"/>
          <w:sz w:val="20"/>
          <w:lang w:val="sq-AL"/>
        </w:rPr>
        <w:t xml:space="preserve"> Turko-Jugosllav si nj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</w:t>
      </w:r>
      <w:r w:rsidR="00E4564D" w:rsidRPr="00681A40">
        <w:rPr>
          <w:rFonts w:asciiTheme="majorHAnsi" w:hAnsiTheme="majorHAnsi"/>
          <w:sz w:val="20"/>
          <w:lang w:val="sq-AL"/>
        </w:rPr>
        <w:t>nga</w:t>
      </w:r>
      <w:r w:rsidR="00256F2D" w:rsidRPr="00681A40">
        <w:rPr>
          <w:rFonts w:asciiTheme="majorHAnsi" w:hAnsiTheme="majorHAnsi"/>
          <w:sz w:val="20"/>
          <w:lang w:val="sq-AL"/>
        </w:rPr>
        <w:t xml:space="preserve"> rajonet popullsia e s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cil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>s d</w:t>
      </w:r>
      <w:r w:rsidR="0007633D" w:rsidRPr="00681A40">
        <w:rPr>
          <w:rFonts w:asciiTheme="majorHAnsi" w:hAnsiTheme="majorHAnsi"/>
          <w:sz w:val="20"/>
          <w:lang w:val="sq-AL"/>
        </w:rPr>
        <w:t>o t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07633D" w:rsidRPr="00681A40">
        <w:rPr>
          <w:rFonts w:asciiTheme="majorHAnsi" w:hAnsiTheme="majorHAnsi"/>
          <w:sz w:val="20"/>
          <w:lang w:val="sq-AL"/>
        </w:rPr>
        <w:t xml:space="preserve"> detyrohej</w:t>
      </w:r>
      <w:r w:rsidR="00256F2D" w:rsidRPr="00681A40">
        <w:rPr>
          <w:rFonts w:asciiTheme="majorHAnsi" w:hAnsiTheme="majorHAnsi"/>
          <w:sz w:val="20"/>
          <w:lang w:val="sq-AL"/>
        </w:rPr>
        <w:t xml:space="preserve"> t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migronte n</w:t>
      </w:r>
      <w:r w:rsidRPr="00681A40">
        <w:rPr>
          <w:rFonts w:asciiTheme="majorHAnsi" w:hAnsiTheme="majorHAnsi"/>
          <w:sz w:val="20"/>
          <w:lang w:val="sq-AL"/>
        </w:rPr>
        <w:t>ë</w:t>
      </w:r>
      <w:r w:rsidR="00256F2D" w:rsidRPr="00681A40">
        <w:rPr>
          <w:rFonts w:asciiTheme="majorHAnsi" w:hAnsiTheme="majorHAnsi"/>
          <w:sz w:val="20"/>
          <w:lang w:val="sq-AL"/>
        </w:rPr>
        <w:t xml:space="preserve"> Turqi. </w:t>
      </w:r>
    </w:p>
    <w:p w:rsidR="00BE6161" w:rsidRPr="00681A40" w:rsidRDefault="0007633D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Deri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fund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LIIB rajoni i 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rkiste Kosov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s. Duke dashur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mbanin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n sundimin serb rrug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 automobilistike dhe hekurudhore</w:t>
      </w:r>
      <w:r w:rsidR="00D62770" w:rsidRPr="00681A40">
        <w:rPr>
          <w:rFonts w:asciiTheme="majorHAnsi" w:hAnsiTheme="majorHAnsi"/>
          <w:sz w:val="20"/>
          <w:lang w:val="sq-AL"/>
        </w:rPr>
        <w:t>,</w:t>
      </w:r>
      <w:r w:rsidRPr="00681A40">
        <w:rPr>
          <w:rFonts w:asciiTheme="majorHAnsi" w:hAnsiTheme="majorHAnsi"/>
          <w:sz w:val="20"/>
          <w:lang w:val="sq-AL"/>
        </w:rPr>
        <w:t xml:space="preserve"> q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kalonin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 k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rajon</w:t>
      </w:r>
      <w:r w:rsidR="00D62770" w:rsidRPr="00681A40">
        <w:rPr>
          <w:rFonts w:asciiTheme="majorHAnsi" w:hAnsiTheme="majorHAnsi"/>
          <w:sz w:val="20"/>
          <w:lang w:val="sq-AL"/>
        </w:rPr>
        <w:t>,</w:t>
      </w:r>
      <w:r w:rsidRPr="00681A40">
        <w:rPr>
          <w:rFonts w:asciiTheme="majorHAnsi" w:hAnsiTheme="majorHAnsi"/>
          <w:sz w:val="20"/>
          <w:lang w:val="sq-AL"/>
        </w:rPr>
        <w:t xml:space="preserve"> si dhe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  <w:r w:rsidR="002A3C77" w:rsidRPr="00681A40">
        <w:rPr>
          <w:rFonts w:asciiTheme="majorHAnsi" w:hAnsiTheme="majorHAnsi"/>
          <w:sz w:val="20"/>
          <w:lang w:val="sq-AL"/>
        </w:rPr>
        <w:t>„</w:t>
      </w:r>
      <w:r w:rsidRPr="00681A40">
        <w:rPr>
          <w:rFonts w:asciiTheme="majorHAnsi" w:hAnsiTheme="majorHAnsi"/>
          <w:sz w:val="20"/>
          <w:lang w:val="sq-AL"/>
        </w:rPr>
        <w:t>kontrollonin nacionalist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 shqiptar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A3C77" w:rsidRPr="00681A40">
        <w:rPr>
          <w:rFonts w:asciiTheme="majorHAnsi" w:hAnsiTheme="majorHAnsi"/>
          <w:sz w:val="20"/>
          <w:lang w:val="sq-AL"/>
        </w:rPr>
        <w:t>“, qeveria jugosllave ndau L</w:t>
      </w:r>
      <w:r w:rsidRPr="00681A40">
        <w:rPr>
          <w:rFonts w:asciiTheme="majorHAnsi" w:hAnsiTheme="majorHAnsi"/>
          <w:sz w:val="20"/>
          <w:lang w:val="sq-AL"/>
        </w:rPr>
        <w:t>ugin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n nga Kosova dhe e 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rfshiu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Serbi. </w:t>
      </w:r>
    </w:p>
    <w:p w:rsidR="00BE6161" w:rsidRPr="00681A40" w:rsidRDefault="0007633D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Gjat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Luft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Kosov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 gjasht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deri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tet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mij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shqiptar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etnik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u larguan nga rajoni. Refugjat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 raportuan pas largimit se ata po rekrutoheshin dhe se paramilitar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t serb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po tentonin t’i detyronin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futeshin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kazerma ushtarake.  </w:t>
      </w:r>
    </w:p>
    <w:p w:rsidR="00BE6161" w:rsidRPr="00681A40" w:rsidRDefault="0007633D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>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Vitin 2001, pas Luft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 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Kosov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s, u raportuan p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>rleshje n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mes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Pr="00681A40">
        <w:rPr>
          <w:rFonts w:asciiTheme="majorHAnsi" w:hAnsiTheme="majorHAnsi"/>
          <w:sz w:val="20"/>
          <w:lang w:val="sq-AL"/>
        </w:rPr>
        <w:t xml:space="preserve"> forcave jugos</w:t>
      </w:r>
      <w:r w:rsidR="002C7925" w:rsidRPr="00681A40">
        <w:rPr>
          <w:rFonts w:asciiTheme="majorHAnsi" w:hAnsiTheme="majorHAnsi"/>
          <w:sz w:val="20"/>
          <w:lang w:val="sq-AL"/>
        </w:rPr>
        <w:t>llave t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C7925" w:rsidRPr="00681A40">
        <w:rPr>
          <w:rFonts w:asciiTheme="majorHAnsi" w:hAnsiTheme="majorHAnsi"/>
          <w:sz w:val="20"/>
          <w:lang w:val="sq-AL"/>
        </w:rPr>
        <w:t xml:space="preserve"> siguris</w:t>
      </w:r>
      <w:r w:rsidR="00D62770" w:rsidRPr="00681A40">
        <w:rPr>
          <w:rFonts w:asciiTheme="majorHAnsi" w:hAnsiTheme="majorHAnsi"/>
          <w:sz w:val="20"/>
          <w:lang w:val="sq-AL"/>
        </w:rPr>
        <w:t>ë</w:t>
      </w:r>
      <w:r w:rsidR="002C7925" w:rsidRPr="00681A40">
        <w:rPr>
          <w:rFonts w:asciiTheme="majorHAnsi" w:hAnsiTheme="majorHAnsi"/>
          <w:sz w:val="20"/>
          <w:lang w:val="sq-AL"/>
        </w:rPr>
        <w:t xml:space="preserve"> dhe</w:t>
      </w:r>
      <w:r w:rsidR="00681A40" w:rsidRPr="00681A40">
        <w:rPr>
          <w:rFonts w:asciiTheme="majorHAnsi" w:hAnsiTheme="majorHAnsi"/>
          <w:sz w:val="20"/>
          <w:lang w:val="sq-AL"/>
        </w:rPr>
        <w:t xml:space="preserve"> forcave të shqiptarëve të</w:t>
      </w:r>
      <w:r w:rsidR="002C7925" w:rsidRPr="00681A40">
        <w:rPr>
          <w:rFonts w:asciiTheme="majorHAnsi" w:hAnsiTheme="majorHAnsi"/>
          <w:sz w:val="20"/>
          <w:lang w:val="sq-AL"/>
        </w:rPr>
        <w:t xml:space="preserve"> UÇ</w:t>
      </w:r>
      <w:r w:rsidR="002A3C77" w:rsidRPr="00681A40">
        <w:rPr>
          <w:rFonts w:asciiTheme="majorHAnsi" w:hAnsiTheme="majorHAnsi"/>
          <w:sz w:val="20"/>
          <w:lang w:val="sq-AL"/>
        </w:rPr>
        <w:t>PMB</w:t>
      </w:r>
      <w:r w:rsidR="00681A40" w:rsidRPr="00681A40">
        <w:rPr>
          <w:rFonts w:asciiTheme="majorHAnsi" w:hAnsiTheme="majorHAnsi"/>
          <w:sz w:val="20"/>
          <w:lang w:val="sq-AL"/>
        </w:rPr>
        <w:t>-së</w:t>
      </w:r>
      <w:r w:rsidR="002C7925" w:rsidRPr="00681A40">
        <w:rPr>
          <w:rFonts w:asciiTheme="majorHAnsi" w:hAnsiTheme="majorHAnsi"/>
          <w:sz w:val="20"/>
          <w:lang w:val="sq-AL"/>
        </w:rPr>
        <w:t>.</w:t>
      </w:r>
      <w:r w:rsidR="002A3C77" w:rsidRPr="00681A40">
        <w:rPr>
          <w:rFonts w:asciiTheme="majorHAnsi" w:hAnsiTheme="majorHAnsi"/>
          <w:sz w:val="20"/>
          <w:lang w:val="sq-AL"/>
        </w:rPr>
        <w:t xml:space="preserve"> </w:t>
      </w:r>
      <w:r w:rsidR="002C7925" w:rsidRPr="00681A40">
        <w:rPr>
          <w:rFonts w:asciiTheme="majorHAnsi" w:hAnsiTheme="majorHAnsi"/>
          <w:sz w:val="20"/>
          <w:lang w:val="sq-AL"/>
        </w:rPr>
        <w:t xml:space="preserve"> </w:t>
      </w:r>
      <w:r w:rsidR="00681A40" w:rsidRPr="00681A40">
        <w:rPr>
          <w:rFonts w:ascii="Cambria Math" w:hAnsi="Cambria Math"/>
          <w:sz w:val="20"/>
          <w:lang w:val="sq-AL"/>
        </w:rPr>
        <w:t>Lufta</w:t>
      </w:r>
      <w:r w:rsidR="002C7925" w:rsidRPr="00681A40">
        <w:rPr>
          <w:rFonts w:ascii="Cambria Math" w:hAnsi="Cambria Math"/>
          <w:sz w:val="20"/>
          <w:lang w:val="sq-AL"/>
        </w:rPr>
        <w:t xml:space="preserve"> n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Lugin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>n e Preshev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s </w:t>
      </w:r>
      <w:r w:rsidR="00D62770" w:rsidRPr="00681A40">
        <w:rPr>
          <w:rFonts w:ascii="Cambria Math" w:hAnsi="Cambria Math"/>
          <w:sz w:val="20"/>
          <w:lang w:val="sq-AL"/>
        </w:rPr>
        <w:t>mbaroi</w:t>
      </w:r>
      <w:r w:rsidR="002C7925" w:rsidRPr="00681A40">
        <w:rPr>
          <w:rFonts w:ascii="Cambria Math" w:hAnsi="Cambria Math"/>
          <w:sz w:val="20"/>
          <w:lang w:val="sq-AL"/>
        </w:rPr>
        <w:t xml:space="preserve"> pas nd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>rhyrjes nd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>rkomb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>tare q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rezultoi me nj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marr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>veshje paqeje</w:t>
      </w:r>
      <w:r w:rsidR="00681A40" w:rsidRPr="00681A40">
        <w:rPr>
          <w:rFonts w:ascii="Cambria Math" w:hAnsi="Cambria Math"/>
          <w:sz w:val="20"/>
          <w:lang w:val="sq-AL"/>
        </w:rPr>
        <w:t xml:space="preserve"> „Deklaratës së Konçulit“,</w:t>
      </w:r>
      <w:r w:rsidR="002C7925" w:rsidRPr="00681A40">
        <w:rPr>
          <w:rFonts w:ascii="Cambria Math" w:hAnsi="Cambria Math"/>
          <w:sz w:val="20"/>
          <w:lang w:val="sq-AL"/>
        </w:rPr>
        <w:t xml:space="preserve">, </w:t>
      </w:r>
      <w:r w:rsidR="002A3C77" w:rsidRPr="00681A40">
        <w:rPr>
          <w:rFonts w:ascii="Cambria Math" w:hAnsi="Cambria Math"/>
          <w:sz w:val="20"/>
          <w:lang w:val="sq-AL"/>
        </w:rPr>
        <w:t>sipas s</w:t>
      </w:r>
      <w:r w:rsidR="00681A40" w:rsidRPr="00681A40">
        <w:rPr>
          <w:rFonts w:ascii="Cambria Math" w:hAnsi="Cambria Math"/>
          <w:sz w:val="20"/>
          <w:lang w:val="sq-AL"/>
        </w:rPr>
        <w:t>ë</w:t>
      </w:r>
      <w:r w:rsidR="002A3C77" w:rsidRPr="00681A40">
        <w:rPr>
          <w:rFonts w:ascii="Cambria Math" w:hAnsi="Cambria Math"/>
          <w:sz w:val="20"/>
          <w:lang w:val="sq-AL"/>
        </w:rPr>
        <w:t xml:space="preserve"> cil</w:t>
      </w:r>
      <w:r w:rsidR="00681A40" w:rsidRPr="00681A40">
        <w:rPr>
          <w:rFonts w:ascii="Cambria Math" w:hAnsi="Cambria Math"/>
          <w:sz w:val="20"/>
          <w:lang w:val="sq-AL"/>
        </w:rPr>
        <w:t>ë</w:t>
      </w:r>
      <w:r w:rsidR="002A3C77" w:rsidRPr="00681A40">
        <w:rPr>
          <w:rFonts w:ascii="Cambria Math" w:hAnsi="Cambria Math"/>
          <w:sz w:val="20"/>
          <w:lang w:val="sq-AL"/>
        </w:rPr>
        <w:t>s duhej t</w:t>
      </w:r>
      <w:r w:rsidR="00681A4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çmilitarizo</w:t>
      </w:r>
      <w:r w:rsidR="002A3C77" w:rsidRPr="00681A40">
        <w:rPr>
          <w:rFonts w:ascii="Cambria Math" w:hAnsi="Cambria Math"/>
          <w:sz w:val="20"/>
          <w:lang w:val="sq-AL"/>
        </w:rPr>
        <w:t>hej</w:t>
      </w:r>
      <w:r w:rsidR="002C7925" w:rsidRPr="00681A40">
        <w:rPr>
          <w:rFonts w:ascii="Cambria Math" w:hAnsi="Cambria Math"/>
          <w:sz w:val="20"/>
          <w:lang w:val="sq-AL"/>
        </w:rPr>
        <w:t xml:space="preserve"> rajoni, amnesto</w:t>
      </w:r>
      <w:r w:rsidR="002A3C77" w:rsidRPr="00681A40">
        <w:rPr>
          <w:rFonts w:ascii="Cambria Math" w:hAnsi="Cambria Math"/>
          <w:sz w:val="20"/>
          <w:lang w:val="sq-AL"/>
        </w:rPr>
        <w:t>het</w:t>
      </w:r>
      <w:r w:rsidR="002C7925" w:rsidRPr="00681A40">
        <w:rPr>
          <w:rFonts w:ascii="Cambria Math" w:hAnsi="Cambria Math"/>
          <w:sz w:val="20"/>
          <w:lang w:val="sq-AL"/>
        </w:rPr>
        <w:t xml:space="preserve"> UÇPMB-n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A3C77" w:rsidRPr="00681A40">
        <w:rPr>
          <w:rFonts w:ascii="Cambria Math" w:hAnsi="Cambria Math"/>
          <w:sz w:val="20"/>
          <w:lang w:val="sq-AL"/>
        </w:rPr>
        <w:t xml:space="preserve"> dhe iu lejua</w:t>
      </w:r>
      <w:r w:rsidR="002C7925" w:rsidRPr="00681A40">
        <w:rPr>
          <w:rFonts w:ascii="Cambria Math" w:hAnsi="Cambria Math"/>
          <w:sz w:val="20"/>
          <w:lang w:val="sq-AL"/>
        </w:rPr>
        <w:t xml:space="preserve"> hyrj</w:t>
      </w:r>
      <w:r w:rsidR="002A3C77" w:rsidRPr="00681A40">
        <w:rPr>
          <w:rFonts w:ascii="Cambria Math" w:hAnsi="Cambria Math"/>
          <w:sz w:val="20"/>
          <w:lang w:val="sq-AL"/>
        </w:rPr>
        <w:t>a</w:t>
      </w:r>
      <w:r w:rsidR="002C7925" w:rsidRPr="00681A40">
        <w:rPr>
          <w:rFonts w:ascii="Cambria Math" w:hAnsi="Cambria Math"/>
          <w:sz w:val="20"/>
          <w:lang w:val="sq-AL"/>
        </w:rPr>
        <w:t xml:space="preserve"> Ushtris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jugosllave n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 rajon me miratimin e NATO-s</w:t>
      </w:r>
      <w:r w:rsidR="00D62770" w:rsidRPr="00681A40">
        <w:rPr>
          <w:rFonts w:ascii="Cambria Math" w:hAnsi="Cambria Math"/>
          <w:sz w:val="20"/>
          <w:lang w:val="sq-AL"/>
        </w:rPr>
        <w:t>ë</w:t>
      </w:r>
      <w:r w:rsidR="002C7925" w:rsidRPr="00681A40">
        <w:rPr>
          <w:rFonts w:ascii="Cambria Math" w:hAnsi="Cambria Math"/>
          <w:sz w:val="20"/>
          <w:lang w:val="sq-AL"/>
        </w:rPr>
        <w:t xml:space="preserve">.  </w:t>
      </w:r>
      <w:r w:rsidR="002C7925" w:rsidRPr="00681A40">
        <w:rPr>
          <w:rFonts w:asciiTheme="majorHAnsi" w:hAnsiTheme="majorHAnsi"/>
          <w:sz w:val="20"/>
          <w:lang w:val="sq-AL"/>
        </w:rPr>
        <w:t xml:space="preserve">   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</w:p>
    <w:p w:rsidR="00BE6161" w:rsidRPr="00681A40" w:rsidRDefault="00D6277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 xml:space="preserve">Shqiptarët e rajonit janë të përfaqësuar politikisht në parlament nga Koalicioni Shqiptar i Luginës së Preshevës, i cili ka fituar një karrige </w:t>
      </w:r>
      <w:r w:rsidR="002A3C77" w:rsidRPr="00681A40">
        <w:rPr>
          <w:rFonts w:asciiTheme="majorHAnsi" w:hAnsiTheme="majorHAnsi"/>
          <w:sz w:val="20"/>
          <w:lang w:val="sq-AL"/>
        </w:rPr>
        <w:t xml:space="preserve">prej </w:t>
      </w:r>
      <w:r w:rsidRPr="00681A40">
        <w:rPr>
          <w:rFonts w:asciiTheme="majorHAnsi" w:hAnsiTheme="majorHAnsi"/>
          <w:sz w:val="20"/>
          <w:lang w:val="sq-AL"/>
        </w:rPr>
        <w:t>Zgjedhjeve Parlamentare të vitit 2007</w:t>
      </w:r>
    </w:p>
    <w:p w:rsidR="00BE6161" w:rsidRPr="00681A40" w:rsidRDefault="00D6277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 xml:space="preserve">Përfaqësuesit politikë të komunave të Preshevës, Bujanocit dhe Medvegjës kanë miratuar </w:t>
      </w:r>
      <w:r w:rsidR="00681A40" w:rsidRPr="00681A40">
        <w:rPr>
          <w:rFonts w:asciiTheme="majorHAnsi" w:hAnsiTheme="majorHAnsi"/>
          <w:sz w:val="20"/>
          <w:lang w:val="sq-AL"/>
        </w:rPr>
        <w:t>në gusht të vitit 2006</w:t>
      </w:r>
      <w:r w:rsidR="00833360" w:rsidRPr="00681A40">
        <w:rPr>
          <w:rFonts w:asciiTheme="majorHAnsi" w:hAnsiTheme="majorHAnsi"/>
          <w:sz w:val="20"/>
          <w:lang w:val="sq-AL"/>
        </w:rPr>
        <w:t xml:space="preserve"> </w:t>
      </w:r>
      <w:r w:rsidR="002A3C77" w:rsidRPr="00681A40">
        <w:rPr>
          <w:rFonts w:asciiTheme="majorHAnsi" w:hAnsiTheme="majorHAnsi"/>
          <w:sz w:val="20"/>
          <w:lang w:val="sq-AL"/>
        </w:rPr>
        <w:t>një Platform</w:t>
      </w:r>
      <w:r w:rsidR="00681A40" w:rsidRPr="00681A40">
        <w:rPr>
          <w:rFonts w:asciiTheme="majorHAnsi" w:hAnsiTheme="majorHAnsi"/>
          <w:sz w:val="20"/>
          <w:lang w:val="sq-AL"/>
        </w:rPr>
        <w:t>ë</w:t>
      </w:r>
      <w:r w:rsidR="002A3C77" w:rsidRPr="00681A40">
        <w:rPr>
          <w:rFonts w:asciiTheme="majorHAnsi" w:hAnsiTheme="majorHAnsi"/>
          <w:sz w:val="20"/>
          <w:lang w:val="sq-AL"/>
        </w:rPr>
        <w:t xml:space="preserve"> politike</w:t>
      </w:r>
      <w:r w:rsidRPr="00681A40">
        <w:rPr>
          <w:rFonts w:asciiTheme="majorHAnsi" w:hAnsiTheme="majorHAnsi"/>
          <w:sz w:val="20"/>
          <w:lang w:val="sq-AL"/>
        </w:rPr>
        <w:t>, ku kanë kërkuar formimin e „Rajonit të Luginës së Preshevës“</w:t>
      </w:r>
      <w:r w:rsidR="00833360" w:rsidRPr="00681A40">
        <w:rPr>
          <w:rFonts w:asciiTheme="majorHAnsi" w:hAnsiTheme="majorHAnsi"/>
          <w:sz w:val="20"/>
          <w:lang w:val="sq-AL"/>
        </w:rPr>
        <w:t xml:space="preserve">. </w:t>
      </w:r>
      <w:r w:rsidRPr="00681A40">
        <w:rPr>
          <w:rFonts w:asciiTheme="majorHAnsi" w:hAnsiTheme="majorHAnsi"/>
          <w:sz w:val="20"/>
          <w:lang w:val="sq-AL"/>
        </w:rPr>
        <w:t xml:space="preserve"> </w:t>
      </w:r>
    </w:p>
    <w:p w:rsidR="00BE6161" w:rsidRPr="00681A40" w:rsidRDefault="00D62770" w:rsidP="00BE6161">
      <w:pPr>
        <w:ind w:firstLine="720"/>
        <w:jc w:val="both"/>
        <w:rPr>
          <w:rFonts w:asciiTheme="majorHAnsi" w:hAnsiTheme="majorHAnsi"/>
          <w:sz w:val="20"/>
          <w:lang w:val="sq-AL"/>
        </w:rPr>
      </w:pPr>
      <w:r w:rsidRPr="00681A40">
        <w:rPr>
          <w:rFonts w:asciiTheme="majorHAnsi" w:hAnsiTheme="majorHAnsi"/>
          <w:sz w:val="20"/>
          <w:lang w:val="sq-AL"/>
        </w:rPr>
        <w:t xml:space="preserve">Shkëmbimi i territoreve ndërmjet Serbisë dhe Kosovës, që do të përfshinte Luginën dhe Veriun e Kosovës, është një temë e shpeshtë në media dhe deklaratat jozyrtare „testuese“, por të gjitha palët </w:t>
      </w:r>
      <w:r w:rsidR="00833360" w:rsidRPr="00681A40">
        <w:rPr>
          <w:rFonts w:asciiTheme="majorHAnsi" w:hAnsiTheme="majorHAnsi"/>
          <w:sz w:val="20"/>
          <w:lang w:val="sq-AL"/>
        </w:rPr>
        <w:t xml:space="preserve">e përfshira </w:t>
      </w:r>
      <w:r w:rsidRPr="00681A40">
        <w:rPr>
          <w:rFonts w:asciiTheme="majorHAnsi" w:hAnsiTheme="majorHAnsi"/>
          <w:sz w:val="20"/>
          <w:lang w:val="sq-AL"/>
        </w:rPr>
        <w:t xml:space="preserve">në procesin zyrtar kanë refuzuar </w:t>
      </w:r>
      <w:r w:rsidR="00833360" w:rsidRPr="00681A40">
        <w:rPr>
          <w:rFonts w:asciiTheme="majorHAnsi" w:hAnsiTheme="majorHAnsi"/>
          <w:sz w:val="20"/>
          <w:lang w:val="sq-AL"/>
        </w:rPr>
        <w:t xml:space="preserve">deri më tani </w:t>
      </w:r>
      <w:r w:rsidRPr="00681A40">
        <w:rPr>
          <w:rFonts w:asciiTheme="majorHAnsi" w:hAnsiTheme="majorHAnsi"/>
          <w:sz w:val="20"/>
          <w:lang w:val="sq-AL"/>
        </w:rPr>
        <w:t xml:space="preserve">çdo mundësi për ndryshim kufijsh në rajon.  </w:t>
      </w:r>
    </w:p>
    <w:p w:rsidR="00681A40" w:rsidRPr="00681A40" w:rsidRDefault="00681A40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681A40" w:rsidRPr="00681A40" w:rsidRDefault="00681A40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681A40" w:rsidRPr="00681A40" w:rsidRDefault="00681A40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2A3C77" w:rsidRPr="00681A40" w:rsidRDefault="002A3C77" w:rsidP="00C869AE">
      <w:pPr>
        <w:ind w:firstLine="72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color w:val="000000"/>
          <w:lang w:val="sq-AL"/>
        </w:rPr>
        <w:lastRenderedPageBreak/>
        <w:t>Tensionet e reja</w:t>
      </w:r>
    </w:p>
    <w:p w:rsidR="00C869AE" w:rsidRPr="00681A40" w:rsidRDefault="00CA2086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Kriza e shkaktuar rreth lapidarit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shmor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UÇPMB-s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, largimi i tij i dhunsh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</w:t>
      </w:r>
      <w:r w:rsidR="00732E4C" w:rsidRPr="00681A40">
        <w:rPr>
          <w:rFonts w:ascii="Century Schoolbook" w:hAnsi="Century Schoolbook" w:cs="Arabic Typesetting"/>
          <w:color w:val="000000"/>
          <w:lang w:val="sq-AL"/>
        </w:rPr>
        <w:t xml:space="preserve"> dhe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732E4C" w:rsidRPr="00681A40">
        <w:rPr>
          <w:rFonts w:ascii="Century Schoolbook" w:hAnsi="Century Schoolbook" w:cs="Arabic Typesetting"/>
          <w:color w:val="000000"/>
          <w:lang w:val="sq-AL"/>
        </w:rPr>
        <w:t>status</w:t>
      </w:r>
      <w:r w:rsidRPr="00681A40">
        <w:rPr>
          <w:rFonts w:ascii="Century Schoolbook" w:hAnsi="Century Schoolbook" w:cs="Arabic Typesetting"/>
          <w:color w:val="000000"/>
          <w:lang w:val="sq-AL"/>
        </w:rPr>
        <w:t>i</w:t>
      </w:r>
      <w:r w:rsidR="00732E4C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i pazgjidhur i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 xml:space="preserve"> të LP, 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kan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treguar brisht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situat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politike dhe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siguris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Lugin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Preshev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s. Mund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sia e shp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rndarjes 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kriz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edhe jasht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kufijve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tyre komunave, shtron domosdoshm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rin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rkujd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e</w:t>
      </w:r>
      <w:r w:rsidRPr="00681A40">
        <w:rPr>
          <w:rFonts w:ascii="Century Schoolbook" w:hAnsi="Century Schoolbook" w:cs="Arabic Typesetting"/>
          <w:color w:val="000000"/>
          <w:lang w:val="sq-AL"/>
        </w:rPr>
        <w:t>sjes me vet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732E4C" w:rsidRPr="00681A40">
        <w:rPr>
          <w:rFonts w:ascii="Century Schoolbook" w:hAnsi="Century Schoolbook" w:cs="Arabic Typesetting"/>
          <w:color w:val="000000"/>
          <w:lang w:val="sq-AL"/>
        </w:rPr>
        <w:t>shkaktarin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tensioneve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,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 lidhur me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drejtat e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tij rajoni, respektivisht nevoj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realizimit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C869AE" w:rsidRPr="00681A40">
        <w:rPr>
          <w:rFonts w:ascii="Century Schoolbook" w:hAnsi="Century Schoolbook" w:cs="Arabic Typesetting"/>
          <w:color w:val="000000"/>
          <w:lang w:val="sq-AL"/>
        </w:rPr>
        <w:t>Program</w:t>
      </w:r>
      <w:r w:rsidRPr="00681A40">
        <w:rPr>
          <w:rFonts w:ascii="Century Schoolbook" w:hAnsi="Century Schoolbook" w:cs="Arabic Typesetting"/>
          <w:color w:val="000000"/>
          <w:lang w:val="sq-AL"/>
        </w:rPr>
        <w:t>it</w:t>
      </w:r>
      <w:r w:rsidR="007F2E4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1"/>
      </w:r>
      <w:r w:rsidR="00C869AE"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Pr="00681A40">
        <w:rPr>
          <w:rFonts w:ascii="Century Schoolbook" w:hAnsi="Century Schoolbook" w:cs="Arabic Typesetting"/>
          <w:color w:val="000000"/>
          <w:lang w:val="sq-AL"/>
        </w:rPr>
        <w:t>dhe atyre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rkesave politike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q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rezultojn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nga </w:t>
      </w:r>
      <w:r w:rsidR="00C869AE" w:rsidRPr="00681A40">
        <w:rPr>
          <w:rFonts w:ascii="Century Schoolbook" w:hAnsi="Century Schoolbook" w:cs="Arabic Typesetting"/>
          <w:color w:val="000000"/>
          <w:lang w:val="sq-AL"/>
        </w:rPr>
        <w:t>Platform</w:t>
      </w:r>
      <w:r w:rsidRPr="00681A40">
        <w:rPr>
          <w:rFonts w:ascii="Century Schoolbook" w:hAnsi="Century Schoolbook" w:cs="Arabic Typesetting"/>
          <w:color w:val="000000"/>
          <w:lang w:val="sq-AL"/>
        </w:rPr>
        <w:t>a</w:t>
      </w:r>
      <w:r w:rsidR="007F2E4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2"/>
      </w:r>
      <w:r w:rsidR="00C869AE" w:rsidRPr="00681A40">
        <w:rPr>
          <w:rFonts w:ascii="Century Schoolbook" w:hAnsi="Century Schoolbook" w:cs="Arabic Typesetting"/>
          <w:color w:val="000000"/>
          <w:lang w:val="sq-AL"/>
        </w:rPr>
        <w:t>.</w:t>
      </w:r>
    </w:p>
    <w:p w:rsidR="00BE6161" w:rsidRPr="00681A40" w:rsidRDefault="00BE6161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Theme="majorHAnsi" w:hAnsiTheme="majorHAnsi" w:cs="Arabic Typesetting"/>
          <w:color w:val="000000"/>
          <w:highlight w:val="yellow"/>
          <w:lang w:val="sq-AL"/>
        </w:rPr>
        <w:t>Zgjidhja e çështjes së Luginës së Preshevës, nuk është vetëm çështje e sigurisë, ajo në radhë të parë paraqet çështje të të drejtave individuale dhe kolektive të shqiptarëve, por, edhe kriter i integrimeve europiane të Serbisë.</w:t>
      </w:r>
      <w:r w:rsidR="005154CB">
        <w:rPr>
          <w:rFonts w:asciiTheme="majorHAnsi" w:hAnsiTheme="majorHAnsi" w:cs="Arabic Typesetting"/>
          <w:color w:val="000000"/>
          <w:lang w:val="sq-AL"/>
        </w:rPr>
        <w:t xml:space="preserve"> </w:t>
      </w:r>
    </w:p>
    <w:p w:rsidR="00B42E68" w:rsidRPr="00681A40" w:rsidRDefault="00CA2086" w:rsidP="00257D26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Konsiderojm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 çdo administrim demokratik duhet t’i sh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rbej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nevojave dhe interesave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popullat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gjithmbarshme,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rfshir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edhe pakicat nacionale.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kontekst do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num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rojm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vet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disa nga do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kumente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të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sishme 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rkomb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,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cil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 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posaçme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BD77CB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BD77CB" w:rsidRPr="00681A40">
        <w:rPr>
          <w:rFonts w:ascii="Century Schoolbook" w:hAnsi="Century Schoolbook" w:cs="Arabic Typesetting"/>
          <w:i/>
          <w:color w:val="000000"/>
          <w:lang w:val="sq-AL"/>
        </w:rPr>
        <w:t>“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ruajtjen e paq</w:t>
      </w:r>
      <w:r w:rsidR="00365DC1" w:rsidRPr="00681A40">
        <w:rPr>
          <w:rFonts w:ascii="Century Schoolbook" w:hAnsi="Century Schoolbook" w:cs="Arabic Typesetting"/>
          <w:i/>
          <w:color w:val="000000"/>
          <w:lang w:val="sq-AL"/>
        </w:rPr>
        <w:t>e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s dhe siguris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BD77CB" w:rsidRPr="00681A40">
        <w:rPr>
          <w:rFonts w:ascii="Century Schoolbook" w:hAnsi="Century Schoolbook" w:cs="Arabic Typesetting"/>
          <w:i/>
          <w:color w:val="000000"/>
          <w:lang w:val="sq-AL"/>
        </w:rPr>
        <w:t>”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 kushtojn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ç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shtjeve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pakicave</w:t>
      </w:r>
      <w:r w:rsidR="007D14E1" w:rsidRPr="00681A40">
        <w:rPr>
          <w:rFonts w:ascii="Century Schoolbook" w:hAnsi="Century Schoolbook" w:cs="Arabic Typesetting"/>
          <w:color w:val="000000"/>
          <w:lang w:val="sq-AL"/>
        </w:rPr>
        <w:t>.</w:t>
      </w:r>
    </w:p>
    <w:p w:rsidR="00257D26" w:rsidRPr="00681A40" w:rsidRDefault="00407889" w:rsidP="00257D26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rkujtojm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 me aktin final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Helsinkit nga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1975 </w:t>
      </w:r>
      <w:r w:rsidRPr="00681A40">
        <w:rPr>
          <w:rFonts w:ascii="Century Schoolbook" w:hAnsi="Century Schoolbook" w:cs="Arabic Typesetting"/>
          <w:color w:val="000000"/>
          <w:lang w:val="sq-AL"/>
        </w:rPr>
        <w:t>shtet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 pjes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marr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OSBE-s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potencojn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lidhjen e ngusht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mes respektimit 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interesave legjitime 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pjes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tar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ev 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pakicave me ruajtjen e paqes dhe siguris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.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Kjo lidhshm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ri, 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von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shprehur edhe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dokumentet tjera: Dokumenti final i Madridit 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1983, </w:t>
      </w:r>
      <w:r w:rsidRPr="00681A40">
        <w:rPr>
          <w:rFonts w:ascii="Century Schoolbook" w:hAnsi="Century Schoolbook" w:cs="Arabic Typesetting"/>
          <w:color w:val="000000"/>
          <w:lang w:val="sq-AL"/>
        </w:rPr>
        <w:t>Dokumenti final i Vjen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1989, </w:t>
      </w:r>
      <w:r w:rsidRPr="00681A40">
        <w:rPr>
          <w:rFonts w:ascii="Century Schoolbook" w:hAnsi="Century Schoolbook" w:cs="Arabic Typesetting"/>
          <w:color w:val="000000"/>
          <w:lang w:val="sq-AL"/>
        </w:rPr>
        <w:t>Karta e Parisit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Evrop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Re e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1990, 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Dokumenti i </w:t>
      </w:r>
      <w:r w:rsidR="00257D26" w:rsidRPr="00681A40">
        <w:rPr>
          <w:rFonts w:ascii="Century Schoolbook" w:hAnsi="Century Schoolbook" w:cs="Arabic Typesetting"/>
          <w:i/>
          <w:color w:val="000000"/>
          <w:lang w:val="sq-AL"/>
        </w:rPr>
        <w:t>Lisbon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s nga</w:t>
      </w:r>
      <w:r w:rsidR="00257D26" w:rsidRPr="00681A40">
        <w:rPr>
          <w:rFonts w:ascii="Century Schoolbook" w:hAnsi="Century Schoolbook" w:cs="Arabic Typesetting"/>
          <w:color w:val="000000"/>
          <w:lang w:val="sq-AL"/>
        </w:rPr>
        <w:t xml:space="preserve"> 1996, </w:t>
      </w:r>
      <w:r w:rsidR="00257D26" w:rsidRPr="00681A40">
        <w:rPr>
          <w:rFonts w:ascii="Century Schoolbook" w:hAnsi="Century Schoolbook" w:cs="Arabic Typesetting"/>
          <w:i/>
          <w:color w:val="000000"/>
          <w:lang w:val="sq-AL"/>
        </w:rPr>
        <w:t>Deklara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ta e</w:t>
      </w:r>
      <w:r w:rsidR="00257D26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OKB p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r t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drejtat e personave q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i p</w:t>
      </w:r>
      <w:r w:rsidR="00283454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rkasin pakicave</w:t>
      </w:r>
      <w:r w:rsidR="00B42E68" w:rsidRPr="00681A40">
        <w:rPr>
          <w:rFonts w:ascii="Century Schoolbook" w:hAnsi="Century Schoolbook" w:cs="Arabic Typesetting"/>
          <w:color w:val="000000"/>
          <w:lang w:val="sq-AL"/>
        </w:rPr>
        <w:t xml:space="preserve">. </w:t>
      </w:r>
      <w:r w:rsidRPr="00681A40">
        <w:rPr>
          <w:rFonts w:ascii="Century Schoolbook" w:hAnsi="Century Schoolbook" w:cs="Arabic Typesetting"/>
          <w:color w:val="000000"/>
          <w:lang w:val="sq-AL"/>
        </w:rPr>
        <w:t>Pas aprovimit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Kart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Parisit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Evrop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Re gjith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shtetet an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OSBE-s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jan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orientuar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r 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m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nyr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n demokratike 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qeverisjes.</w:t>
      </w:r>
    </w:p>
    <w:p w:rsidR="00892AFD" w:rsidRPr="00681A40" w:rsidRDefault="00407889" w:rsidP="00257D26">
      <w:pPr>
        <w:ind w:firstLine="720"/>
        <w:jc w:val="both"/>
        <w:rPr>
          <w:rFonts w:ascii="Century Schoolbook" w:hAnsi="Century Schoolbook" w:cs="Arabic Typesetting"/>
          <w:b/>
          <w:color w:val="000000"/>
          <w:u w:val="single"/>
          <w:lang w:val="sq-AL"/>
        </w:rPr>
      </w:pP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Me</w:t>
      </w:r>
      <w:r w:rsidR="00892AFD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</w:t>
      </w:r>
      <w:r w:rsidR="00BA11B2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P</w:t>
      </w:r>
      <w:r w:rsidR="00892AFD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aragraf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in</w:t>
      </w:r>
      <w:r w:rsidR="00892AFD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26 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t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dokumentit t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Helsin</w:t>
      </w:r>
      <w:r w:rsidR="00892AFD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k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it shtetet an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tare t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OSBE-s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jan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obliguar q</w:t>
      </w:r>
      <w:r w:rsidR="00283454"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u w:val="single"/>
          <w:lang w:val="sq-AL"/>
        </w:rPr>
        <w:t xml:space="preserve"> </w:t>
      </w:r>
      <w:r w:rsidR="00892AFD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“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nxisin ç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shtjet e pakicave 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m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nyr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konstruktive, me mjete paq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sore dhe me dialog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gjitha pal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ve sipas parimeve dhe obligimeve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 xml:space="preserve"> </w:t>
      </w:r>
      <w:r w:rsidR="00892AFD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KEBS-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it</w:t>
      </w:r>
      <w:r w:rsidR="00892AFD" w:rsidRPr="00681A40">
        <w:rPr>
          <w:rFonts w:ascii="Century Schoolbook" w:hAnsi="Century Schoolbook" w:cs="Arabic Typesetting"/>
          <w:i/>
          <w:color w:val="000000"/>
          <w:highlight w:val="lightGray"/>
          <w:u w:val="single"/>
          <w:lang w:val="sq-AL"/>
        </w:rPr>
        <w:t>”.</w:t>
      </w:r>
    </w:p>
    <w:p w:rsidR="009C4EE3" w:rsidRPr="00681A40" w:rsidRDefault="00DB7B62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Por edhe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rkund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tyre obligimeve 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rkomb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tarisht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marra dhe obligimeve q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sjell e drejta e brendshme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raport me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drejtat e pakicave, kons</w:t>
      </w:r>
      <w:r w:rsidR="00AF4EA0">
        <w:rPr>
          <w:rFonts w:ascii="Century Schoolbook" w:hAnsi="Century Schoolbook" w:cs="Arabic Typesetting"/>
          <w:color w:val="000000"/>
          <w:lang w:val="sq-AL"/>
        </w:rPr>
        <w:t>tatojm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 e Lugin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Preshe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v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edhe 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tej i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nshtrohen diskriminimit shtet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ror</w:t>
      </w:r>
      <w:r w:rsidR="006B6657" w:rsidRPr="00681A40">
        <w:rPr>
          <w:rFonts w:ascii="Century Schoolbook" w:hAnsi="Century Schoolbook" w:cs="Arabic Typesetting"/>
          <w:color w:val="000000"/>
          <w:lang w:val="sq-AL"/>
        </w:rPr>
        <w:t xml:space="preserve">. </w:t>
      </w:r>
    </w:p>
    <w:tbl>
      <w:tblPr>
        <w:tblStyle w:val="MediumShading2-Accent1"/>
        <w:tblW w:w="9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60"/>
        <w:gridCol w:w="630"/>
        <w:gridCol w:w="990"/>
        <w:gridCol w:w="810"/>
        <w:gridCol w:w="900"/>
        <w:gridCol w:w="720"/>
        <w:gridCol w:w="720"/>
        <w:gridCol w:w="612"/>
        <w:gridCol w:w="900"/>
        <w:gridCol w:w="916"/>
      </w:tblGrid>
      <w:tr w:rsidR="00BE6161" w:rsidRPr="00681A40" w:rsidTr="00DA7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98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18"/>
                <w:lang w:val="sq-AL"/>
              </w:rPr>
            </w:pPr>
            <w:r w:rsidRPr="00681A40">
              <w:rPr>
                <w:b w:val="0"/>
                <w:color w:val="000000"/>
                <w:sz w:val="18"/>
                <w:lang w:val="sq-AL"/>
              </w:rPr>
              <w:t>KOMUNA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E6161" w:rsidRPr="00681A40" w:rsidRDefault="00BE6161" w:rsidP="00BE6161">
            <w:pPr>
              <w:rPr>
                <w:b w:val="0"/>
                <w:color w:val="000000"/>
                <w:sz w:val="18"/>
                <w:lang w:val="sq-AL"/>
              </w:rPr>
            </w:pPr>
            <w:r w:rsidRPr="00681A40">
              <w:rPr>
                <w:b w:val="0"/>
                <w:color w:val="000000"/>
                <w:sz w:val="18"/>
                <w:lang w:val="sq-AL"/>
              </w:rPr>
              <w:t>Nr. populls/</w:t>
            </w:r>
          </w:p>
        </w:tc>
        <w:tc>
          <w:tcPr>
            <w:tcW w:w="630" w:type="dxa"/>
          </w:tcPr>
          <w:p w:rsidR="00BE6161" w:rsidRPr="00681A40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Alb</w:t>
            </w:r>
          </w:p>
        </w:tc>
        <w:tc>
          <w:tcPr>
            <w:tcW w:w="810" w:type="dxa"/>
          </w:tcPr>
          <w:p w:rsidR="00BE6161" w:rsidRPr="00681A40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Serbs</w:t>
            </w:r>
          </w:p>
        </w:tc>
        <w:tc>
          <w:tcPr>
            <w:tcW w:w="720" w:type="dxa"/>
          </w:tcPr>
          <w:p w:rsidR="00BE6161" w:rsidRPr="00681A40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Roma</w:t>
            </w:r>
          </w:p>
        </w:tc>
        <w:tc>
          <w:tcPr>
            <w:tcW w:w="612" w:type="dxa"/>
          </w:tcPr>
          <w:p w:rsidR="00BE6161" w:rsidRPr="00681A40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 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Other.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916" w:type="dxa"/>
          </w:tcPr>
          <w:p w:rsidR="00BE6161" w:rsidRPr="00681A40" w:rsidRDefault="00BE6161" w:rsidP="00D62770">
            <w:pPr>
              <w:jc w:val="center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%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18"/>
                <w:lang w:val="sq-AL"/>
              </w:rPr>
            </w:pPr>
            <w:r w:rsidRPr="00681A40">
              <w:rPr>
                <w:b w:val="0"/>
                <w:color w:val="000000"/>
                <w:sz w:val="18"/>
                <w:lang w:val="sq-AL"/>
              </w:rPr>
              <w:t>Presheva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34.904</w:t>
            </w:r>
          </w:p>
        </w:tc>
        <w:tc>
          <w:tcPr>
            <w:tcW w:w="63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31.098</w:t>
            </w:r>
          </w:p>
        </w:tc>
        <w:tc>
          <w:tcPr>
            <w:tcW w:w="81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89.10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2.984</w:t>
            </w:r>
          </w:p>
        </w:tc>
        <w:tc>
          <w:tcPr>
            <w:tcW w:w="72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8.55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322</w:t>
            </w:r>
          </w:p>
        </w:tc>
        <w:tc>
          <w:tcPr>
            <w:tcW w:w="612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0.92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 xml:space="preserve"> 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6" w:type="dxa"/>
          </w:tcPr>
          <w:p w:rsidR="00BE6161" w:rsidRPr="00681A40" w:rsidRDefault="00BE6161" w:rsidP="00D62770">
            <w:pPr>
              <w:jc w:val="center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1.43</w:t>
            </w:r>
          </w:p>
        </w:tc>
      </w:tr>
      <w:tr w:rsidR="00BE6161" w:rsidRPr="00681A40" w:rsidTr="00DA77C2">
        <w:trPr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18"/>
                <w:lang w:val="sq-AL"/>
              </w:rPr>
            </w:pPr>
            <w:r w:rsidRPr="00681A40">
              <w:rPr>
                <w:b w:val="0"/>
                <w:color w:val="000000"/>
                <w:sz w:val="18"/>
                <w:lang w:val="sq-AL"/>
              </w:rPr>
              <w:t>Bujanoci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43.302</w:t>
            </w:r>
          </w:p>
        </w:tc>
        <w:tc>
          <w:tcPr>
            <w:tcW w:w="630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23.681</w:t>
            </w:r>
          </w:p>
        </w:tc>
        <w:tc>
          <w:tcPr>
            <w:tcW w:w="810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54.69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14.782</w:t>
            </w:r>
          </w:p>
        </w:tc>
        <w:tc>
          <w:tcPr>
            <w:tcW w:w="720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34.13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3.867</w:t>
            </w:r>
          </w:p>
        </w:tc>
        <w:tc>
          <w:tcPr>
            <w:tcW w:w="612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8.99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 xml:space="preserve"> 972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6" w:type="dxa"/>
          </w:tcPr>
          <w:p w:rsidR="00BE6161" w:rsidRPr="00681A40" w:rsidRDefault="00BE6161" w:rsidP="00D62770">
            <w:pPr>
              <w:jc w:val="center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2.19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18"/>
                <w:lang w:val="sq-AL"/>
              </w:rPr>
            </w:pPr>
            <w:r w:rsidRPr="00681A40">
              <w:rPr>
                <w:b w:val="0"/>
                <w:color w:val="000000"/>
                <w:sz w:val="18"/>
                <w:lang w:val="sq-AL"/>
              </w:rPr>
              <w:t>Medvegja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10.760</w:t>
            </w:r>
          </w:p>
        </w:tc>
        <w:tc>
          <w:tcPr>
            <w:tcW w:w="63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 xml:space="preserve"> 2.813</w:t>
            </w:r>
          </w:p>
        </w:tc>
        <w:tc>
          <w:tcPr>
            <w:tcW w:w="81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26.17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7.163</w:t>
            </w:r>
          </w:p>
        </w:tc>
        <w:tc>
          <w:tcPr>
            <w:tcW w:w="72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66.57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108</w:t>
            </w:r>
          </w:p>
        </w:tc>
        <w:tc>
          <w:tcPr>
            <w:tcW w:w="612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1.01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 xml:space="preserve"> 673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6" w:type="dxa"/>
          </w:tcPr>
          <w:p w:rsidR="00BE6161" w:rsidRPr="00681A40" w:rsidRDefault="00BE6161" w:rsidP="00D62770">
            <w:pPr>
              <w:jc w:val="center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6.25</w:t>
            </w:r>
          </w:p>
        </w:tc>
      </w:tr>
      <w:tr w:rsidR="00BE6161" w:rsidRPr="00681A40" w:rsidTr="00DA77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88.966</w:t>
            </w:r>
          </w:p>
        </w:tc>
        <w:tc>
          <w:tcPr>
            <w:tcW w:w="630" w:type="dxa"/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57.595</w:t>
            </w:r>
          </w:p>
        </w:tc>
        <w:tc>
          <w:tcPr>
            <w:tcW w:w="810" w:type="dxa"/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64.74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24.929</w:t>
            </w:r>
          </w:p>
        </w:tc>
        <w:tc>
          <w:tcPr>
            <w:tcW w:w="720" w:type="dxa"/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28.02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4.297</w:t>
            </w:r>
          </w:p>
        </w:tc>
        <w:tc>
          <w:tcPr>
            <w:tcW w:w="612" w:type="dxa"/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4.83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2.145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6" w:type="dxa"/>
          </w:tcPr>
          <w:p w:rsidR="00BE6161" w:rsidRPr="00681A40" w:rsidRDefault="00BE6161" w:rsidP="00D62770">
            <w:pPr>
              <w:jc w:val="center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2.41</w:t>
            </w:r>
          </w:p>
        </w:tc>
      </w:tr>
    </w:tbl>
    <w:p w:rsidR="00BE6161" w:rsidRPr="00681A40" w:rsidRDefault="00BE6161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681A40" w:rsidRPr="00681A40" w:rsidRDefault="00681A40" w:rsidP="00C869AE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C869AE" w:rsidRPr="00681A40" w:rsidRDefault="006B6657" w:rsidP="00C869AE">
      <w:pPr>
        <w:ind w:firstLine="720"/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lastRenderedPageBreak/>
        <w:t>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>rmir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>simi i situat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>s aktuale mund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 xml:space="preserve"> arrihet me 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>rmarrjen e masave afirmative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DB7B62" w:rsidRPr="00681A40">
        <w:rPr>
          <w:rFonts w:ascii="Century Schoolbook" w:hAnsi="Century Schoolbook" w:cs="Arabic Typesetting"/>
          <w:color w:val="000000"/>
          <w:lang w:val="sq-AL"/>
        </w:rPr>
        <w:t xml:space="preserve">to </w:t>
      </w:r>
      <w:r w:rsidR="00A55866" w:rsidRPr="00681A40">
        <w:rPr>
          <w:rFonts w:ascii="Century Schoolbook" w:hAnsi="Century Schoolbook" w:cs="Arabic Typesetting"/>
          <w:color w:val="000000"/>
          <w:lang w:val="sq-AL"/>
        </w:rPr>
        <w:t>sfera</w:t>
      </w:r>
      <w:r w:rsidR="00257D26" w:rsidRPr="00681A40">
        <w:rPr>
          <w:rFonts w:ascii="Century Schoolbook" w:hAnsi="Century Schoolbook" w:cs="Arabic Typesetting"/>
          <w:i/>
          <w:color w:val="000000"/>
          <w:lang w:val="sq-AL"/>
        </w:rPr>
        <w:t>:</w:t>
      </w:r>
    </w:p>
    <w:p w:rsidR="00C869AE" w:rsidRPr="00681A40" w:rsidRDefault="00A55866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Integrimin e plot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shqiptar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ve</w:t>
      </w:r>
      <w:r w:rsidR="00257D26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51337A" w:rsidRPr="00681A40" w:rsidRDefault="00A55866" w:rsidP="0051337A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Revitalizimin ekonomik</w:t>
      </w:r>
      <w:r w:rsidR="0051337A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47163F" w:rsidRPr="00681A40" w:rsidRDefault="00A55866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Realizimin e 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drejt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s n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p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rdorimin zyrtar 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gjuh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s dhe shkrimit dhe simboleve nacionale</w:t>
      </w:r>
      <w:r w:rsidR="0047163F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47163F" w:rsidRPr="00681A40" w:rsidRDefault="009B5CBD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Dec</w:t>
      </w:r>
      <w:r w:rsidR="00B354A8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entrali</w:t>
      </w:r>
      <w:r w:rsidR="00A55866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zimin n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="00A55866"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</w:t>
      </w:r>
      <w:r w:rsidR="00365DC1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gjyq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si</w:t>
      </w:r>
      <w:r w:rsidR="0047163F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257D26" w:rsidRPr="00681A40" w:rsidRDefault="00A55866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Arritjen e siguris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s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plot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n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rajon</w:t>
      </w:r>
      <w:r w:rsidR="0047163F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47163F" w:rsidRPr="00681A40" w:rsidRDefault="00A55866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Arsim, kultur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dhe informim</w:t>
      </w:r>
      <w:r w:rsidR="0047163F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51337A" w:rsidRPr="00681A40" w:rsidRDefault="00A55866" w:rsidP="0047163F">
      <w:pPr>
        <w:pStyle w:val="ListParagraph"/>
        <w:numPr>
          <w:ilvl w:val="0"/>
          <w:numId w:val="2"/>
        </w:numPr>
        <w:jc w:val="both"/>
        <w:rPr>
          <w:rFonts w:ascii="Century Schoolbook" w:hAnsi="Century Schoolbook" w:cs="Arabic Typesetting"/>
          <w:b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Masa</w:t>
      </w:r>
      <w:r w:rsidR="00C737C8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t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n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 xml:space="preserve"> sh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ndet</w:t>
      </w:r>
      <w:r w:rsidR="00283454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i/>
          <w:color w:val="000000"/>
          <w:lang w:val="sq-AL"/>
        </w:rPr>
        <w:t>si dhe sigurim social</w:t>
      </w:r>
      <w:r w:rsidR="00B354A8" w:rsidRPr="00681A40">
        <w:rPr>
          <w:rFonts w:ascii="Century Schoolbook" w:hAnsi="Century Schoolbook" w:cs="Arabic Typesetting"/>
          <w:b/>
          <w:i/>
          <w:color w:val="000000"/>
          <w:lang w:val="sq-AL"/>
        </w:rPr>
        <w:t>;</w:t>
      </w:r>
    </w:p>
    <w:p w:rsidR="0047163F" w:rsidRPr="00681A40" w:rsidRDefault="00A55866" w:rsidP="00CE201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realizimin e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tyre masave 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domosdoshme kyçja e Bashk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rkomb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formatin OSBE, Ambasada SHBA, Ambasada e Britanis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Madhe, Ambasada e Gjermanis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, dhe ambasadat e tjera nga formati </w:t>
      </w:r>
      <w:r w:rsidR="00BD77CB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“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Miqt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e jugu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t</w:t>
      </w:r>
      <w:r w:rsidR="00BD77CB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”</w:t>
      </w:r>
      <w:r w:rsidR="00BD77C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3"/>
      </w:r>
      <w:r w:rsidR="009C4EE3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,</w:t>
      </w:r>
      <w:r w:rsidR="00990625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rfaq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suesit institucional dhe politik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dhe Qeveria e Beogradit</w:t>
      </w:r>
      <w:r w:rsidR="00CE201C" w:rsidRPr="00681A40">
        <w:rPr>
          <w:rFonts w:ascii="Century Schoolbook" w:hAnsi="Century Schoolbook" w:cs="Arabic Typesetting"/>
          <w:color w:val="000000"/>
          <w:lang w:val="sq-AL"/>
        </w:rPr>
        <w:t>.</w:t>
      </w:r>
    </w:p>
    <w:p w:rsidR="00154C1C" w:rsidRPr="00681A40" w:rsidRDefault="00154C1C" w:rsidP="00CE201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47163F" w:rsidRPr="00681A40" w:rsidRDefault="006B6657" w:rsidP="0047163F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INTEGR</w:t>
      </w:r>
      <w:r w:rsidR="00C737C8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IMI i PLOT</w:t>
      </w:r>
      <w:r w:rsidR="00283454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</w:p>
    <w:p w:rsidR="00B13202" w:rsidRPr="00681A40" w:rsidRDefault="00C737C8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Me nenin</w:t>
      </w:r>
      <w:r w:rsidR="0047163F" w:rsidRPr="00681A40">
        <w:rPr>
          <w:rFonts w:ascii="Century Schoolbook" w:hAnsi="Century Schoolbook" w:cs="Arabic Typesetting"/>
          <w:color w:val="000000"/>
          <w:lang w:val="sq-AL"/>
        </w:rPr>
        <w:t xml:space="preserve"> 21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Ligjit</w:t>
      </w:r>
      <w:r w:rsidR="007F2E4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4"/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shprehi</w:t>
      </w:r>
      <w:r w:rsidRPr="00681A40">
        <w:rPr>
          <w:rFonts w:ascii="Century Schoolbook" w:hAnsi="Century Schoolbook" w:cs="Arabic Typesetting"/>
          <w:color w:val="000000"/>
          <w:lang w:val="sq-AL"/>
        </w:rPr>
        <w:t>misht parashihet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: </w:t>
      </w:r>
      <w:r w:rsidR="00B13202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“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N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rastin e pun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simit n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sh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rbimet publike dhe polici, duhet patur kujdes struktur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B16FF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n nacionale 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popullsis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, participimin adekuat dhe njohjen e gjuh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 e cila flitet n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territorin e organit apo sh</w:t>
      </w:r>
      <w:r w:rsidR="00283454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rbimit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”</w:t>
      </w:r>
      <w:r w:rsidR="00B13202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.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Ky obligim, m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 von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 future edhe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 Kushtetut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n 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>R. S</w:t>
      </w:r>
      <w:r w:rsidR="002D13DA" w:rsidRPr="00681A40">
        <w:rPr>
          <w:rFonts w:ascii="Century Schoolbook" w:hAnsi="Century Schoolbook" w:cs="Arabic Typesetting"/>
          <w:color w:val="000000"/>
          <w:lang w:val="sq-AL"/>
        </w:rPr>
        <w:t>e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>rbi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s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, e poashtu, parashihet edhe 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me nen</w:t>
      </w:r>
      <w:r w:rsidR="00F409BE" w:rsidRPr="00681A40">
        <w:rPr>
          <w:rFonts w:ascii="Century Schoolbook" w:hAnsi="Century Schoolbook" w:cs="Arabic Typesetting"/>
          <w:color w:val="000000"/>
          <w:lang w:val="sq-AL"/>
        </w:rPr>
        <w:t xml:space="preserve">.15 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 Konvent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s Kor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iz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FD1C8F" w:rsidRPr="00681A40">
        <w:rPr>
          <w:rFonts w:ascii="Century Schoolbook" w:hAnsi="Century Schoolbook" w:cs="Arabic Typesetting"/>
          <w:color w:val="000000"/>
          <w:lang w:val="sq-AL"/>
        </w:rPr>
        <w:t>r mbrojtjen e pakicave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. </w:t>
      </w:r>
    </w:p>
    <w:p w:rsidR="00BE6161" w:rsidRPr="00681A40" w:rsidRDefault="00BE6161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Të dhënat për numrin e të punësuarëve në institucionet e vetëadministrimit lokal:</w:t>
      </w:r>
    </w:p>
    <w:tbl>
      <w:tblPr>
        <w:tblStyle w:val="MediumShading2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439"/>
        <w:gridCol w:w="1045"/>
        <w:gridCol w:w="1080"/>
        <w:gridCol w:w="1080"/>
        <w:gridCol w:w="1215"/>
      </w:tblGrid>
      <w:tr w:rsidR="00BE6161" w:rsidRPr="00681A40" w:rsidTr="00DA7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180D61" w:rsidRDefault="00BE6161" w:rsidP="00D62770">
            <w:pPr>
              <w:rPr>
                <w:color w:val="auto"/>
                <w:sz w:val="20"/>
                <w:lang w:val="sq-AL"/>
              </w:rPr>
            </w:pPr>
            <w:r w:rsidRPr="00180D61">
              <w:rPr>
                <w:color w:val="auto"/>
                <w:sz w:val="20"/>
                <w:lang w:val="sq-AL"/>
              </w:rPr>
              <w:t>Municipality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180D61" w:rsidRDefault="00BE6161" w:rsidP="00D62770">
            <w:pPr>
              <w:rPr>
                <w:color w:val="000000"/>
                <w:sz w:val="18"/>
                <w:lang w:val="sq-AL"/>
              </w:rPr>
            </w:pPr>
            <w:r w:rsidRPr="00180D61">
              <w:rPr>
                <w:color w:val="000000"/>
                <w:sz w:val="18"/>
                <w:lang w:val="sq-AL"/>
              </w:rPr>
              <w:t>Nr of employ.</w:t>
            </w:r>
          </w:p>
        </w:tc>
        <w:tc>
          <w:tcPr>
            <w:tcW w:w="1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180D61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180D61">
              <w:rPr>
                <w:color w:val="000000"/>
                <w:sz w:val="20"/>
                <w:lang w:val="sq-AL"/>
              </w:rPr>
              <w:t>Albanian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180D61" w:rsidRDefault="00BE6161" w:rsidP="00D62770">
            <w:pPr>
              <w:rPr>
                <w:color w:val="000000"/>
                <w:sz w:val="20"/>
                <w:lang w:val="sq-AL"/>
              </w:rPr>
            </w:pPr>
            <w:r w:rsidRPr="00180D61">
              <w:rPr>
                <w:color w:val="000000"/>
                <w:sz w:val="20"/>
                <w:lang w:val="sq-AL"/>
              </w:rPr>
              <w:t xml:space="preserve">   Serbs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180D61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180D61">
              <w:rPr>
                <w:color w:val="000000"/>
                <w:sz w:val="20"/>
                <w:lang w:val="sq-AL"/>
              </w:rPr>
              <w:t xml:space="preserve">  Roma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2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            Other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Presheva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484</w:t>
            </w:r>
          </w:p>
        </w:tc>
        <w:tc>
          <w:tcPr>
            <w:tcW w:w="1045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64</w:t>
            </w:r>
          </w:p>
        </w:tc>
        <w:tc>
          <w:tcPr>
            <w:tcW w:w="108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/</w:t>
            </w:r>
          </w:p>
        </w:tc>
      </w:tr>
      <w:tr w:rsidR="00BE6161" w:rsidRPr="00681A40" w:rsidTr="00DA77C2">
        <w:trPr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Bujanoci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848</w:t>
            </w:r>
          </w:p>
        </w:tc>
        <w:tc>
          <w:tcPr>
            <w:tcW w:w="1045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473</w:t>
            </w:r>
          </w:p>
        </w:tc>
        <w:tc>
          <w:tcPr>
            <w:tcW w:w="1080" w:type="dxa"/>
          </w:tcPr>
          <w:p w:rsidR="00BE6161" w:rsidRPr="00681A40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6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Medvegja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280</w:t>
            </w:r>
          </w:p>
        </w:tc>
        <w:tc>
          <w:tcPr>
            <w:tcW w:w="1045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259</w:t>
            </w:r>
          </w:p>
        </w:tc>
        <w:tc>
          <w:tcPr>
            <w:tcW w:w="1080" w:type="dxa"/>
          </w:tcPr>
          <w:p w:rsidR="00BE6161" w:rsidRPr="00681A40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681A40">
              <w:rPr>
                <w:color w:val="000000"/>
                <w:sz w:val="20"/>
                <w:lang w:val="sq-AL"/>
              </w:rPr>
              <w:t>3</w:t>
            </w:r>
          </w:p>
        </w:tc>
      </w:tr>
      <w:tr w:rsidR="00BE6161" w:rsidRPr="00681A40" w:rsidTr="00DA77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sz w:val="20"/>
                <w:lang w:val="sq-AL"/>
              </w:rPr>
            </w:pPr>
            <w:r w:rsidRPr="00681A40">
              <w:rPr>
                <w:b w:val="0"/>
                <w:sz w:val="20"/>
                <w:lang w:val="sq-AL"/>
              </w:rPr>
              <w:t xml:space="preserve">All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/>
                <w:color w:val="000000"/>
                <w:sz w:val="20"/>
                <w:lang w:val="sq-AL"/>
              </w:rPr>
            </w:pPr>
            <w:r w:rsidRPr="00681A40">
              <w:rPr>
                <w:b/>
                <w:color w:val="000000"/>
                <w:sz w:val="20"/>
                <w:lang w:val="sq-AL"/>
              </w:rPr>
              <w:t>1.612</w:t>
            </w:r>
          </w:p>
        </w:tc>
        <w:tc>
          <w:tcPr>
            <w:tcW w:w="1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lang w:val="sq-AL"/>
              </w:rPr>
            </w:pPr>
            <w:r w:rsidRPr="00681A40">
              <w:rPr>
                <w:b/>
                <w:color w:val="000000"/>
                <w:sz w:val="20"/>
                <w:lang w:val="sq-AL"/>
              </w:rPr>
              <w:t>660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/>
                <w:color w:val="000000"/>
                <w:sz w:val="20"/>
                <w:lang w:val="sq-AL"/>
              </w:rPr>
            </w:pPr>
            <w:r w:rsidRPr="00681A40">
              <w:rPr>
                <w:b/>
                <w:color w:val="000000"/>
                <w:sz w:val="20"/>
                <w:lang w:val="sq-AL"/>
              </w:rPr>
              <w:t>796</w:t>
            </w:r>
          </w:p>
        </w:tc>
        <w:tc>
          <w:tcPr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lang w:val="sq-AL"/>
              </w:rPr>
            </w:pPr>
            <w:r w:rsidRPr="00681A40">
              <w:rPr>
                <w:b/>
                <w:color w:val="000000"/>
                <w:sz w:val="20"/>
                <w:lang w:val="sq-AL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9</w:t>
            </w:r>
          </w:p>
        </w:tc>
      </w:tr>
    </w:tbl>
    <w:p w:rsidR="00BE6161" w:rsidRPr="00681A40" w:rsidRDefault="00BE6161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BE6161" w:rsidRPr="00681A40" w:rsidRDefault="00BE6161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Të dhënat e numrit të të punësuarëve në institucionet shtetërore të nivelit lokal:</w:t>
      </w:r>
    </w:p>
    <w:tbl>
      <w:tblPr>
        <w:tblStyle w:val="MediumShading2-Accen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1610"/>
        <w:gridCol w:w="1045"/>
        <w:gridCol w:w="1206"/>
        <w:gridCol w:w="1170"/>
        <w:gridCol w:w="1132"/>
      </w:tblGrid>
      <w:tr w:rsidR="00BE6161" w:rsidRPr="00681A40" w:rsidTr="00DA7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Municipality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Nr of employ.</w:t>
            </w:r>
          </w:p>
        </w:tc>
        <w:tc>
          <w:tcPr>
            <w:tcW w:w="1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Albanian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 xml:space="preserve">   Serbs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 xml:space="preserve">  Roma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 xml:space="preserve">              Other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Presheva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446</w:t>
            </w:r>
          </w:p>
        </w:tc>
        <w:tc>
          <w:tcPr>
            <w:tcW w:w="1045" w:type="dxa"/>
          </w:tcPr>
          <w:p w:rsidR="00BE6161" w:rsidRPr="005154CB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212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225</w:t>
            </w:r>
          </w:p>
        </w:tc>
        <w:tc>
          <w:tcPr>
            <w:tcW w:w="1170" w:type="dxa"/>
          </w:tcPr>
          <w:p w:rsidR="00BE6161" w:rsidRPr="005154CB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1</w:t>
            </w:r>
          </w:p>
        </w:tc>
      </w:tr>
      <w:tr w:rsidR="00BE6161" w:rsidRPr="00681A40" w:rsidTr="00DA77C2">
        <w:trPr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Bujanoci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764</w:t>
            </w:r>
          </w:p>
        </w:tc>
        <w:tc>
          <w:tcPr>
            <w:tcW w:w="1045" w:type="dxa"/>
          </w:tcPr>
          <w:p w:rsidR="00BE6161" w:rsidRPr="005154CB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597</w:t>
            </w:r>
          </w:p>
        </w:tc>
        <w:tc>
          <w:tcPr>
            <w:tcW w:w="1170" w:type="dxa"/>
          </w:tcPr>
          <w:p w:rsidR="00BE6161" w:rsidRPr="005154CB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3</w:t>
            </w:r>
          </w:p>
        </w:tc>
      </w:tr>
      <w:tr w:rsidR="00BE6161" w:rsidRPr="00681A40" w:rsidTr="00DA7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sz w:val="20"/>
                <w:lang w:val="sq-AL"/>
              </w:rPr>
            </w:pPr>
            <w:r w:rsidRPr="00681A40">
              <w:rPr>
                <w:b w:val="0"/>
                <w:color w:val="000000"/>
                <w:sz w:val="20"/>
                <w:lang w:val="sq-AL"/>
              </w:rPr>
              <w:t>Medvegja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386</w:t>
            </w:r>
          </w:p>
        </w:tc>
        <w:tc>
          <w:tcPr>
            <w:tcW w:w="1045" w:type="dxa"/>
          </w:tcPr>
          <w:p w:rsidR="00BE6161" w:rsidRPr="005154CB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366</w:t>
            </w:r>
          </w:p>
        </w:tc>
        <w:tc>
          <w:tcPr>
            <w:tcW w:w="1170" w:type="dxa"/>
          </w:tcPr>
          <w:p w:rsidR="00BE6161" w:rsidRPr="005154CB" w:rsidRDefault="00BE6161" w:rsidP="00D627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color w:val="000000"/>
                <w:sz w:val="20"/>
                <w:lang w:val="sq-AL"/>
              </w:rPr>
            </w:pPr>
            <w:r w:rsidRPr="005154CB">
              <w:rPr>
                <w:color w:val="000000"/>
                <w:sz w:val="20"/>
                <w:lang w:val="sq-AL"/>
              </w:rPr>
              <w:t>/</w:t>
            </w:r>
          </w:p>
        </w:tc>
      </w:tr>
      <w:tr w:rsidR="00BE6161" w:rsidRPr="00681A40" w:rsidTr="00DA77C2">
        <w:trPr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lang w:val="sq-AL"/>
              </w:rPr>
            </w:pPr>
            <w:r w:rsidRPr="00681A40">
              <w:rPr>
                <w:b w:val="0"/>
                <w:color w:val="000000"/>
                <w:lang w:val="sq-AL"/>
              </w:rPr>
              <w:t>All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b/>
                <w:color w:val="000000"/>
                <w:sz w:val="20"/>
                <w:lang w:val="sq-AL"/>
              </w:rPr>
            </w:pPr>
            <w:r w:rsidRPr="005154CB">
              <w:rPr>
                <w:b/>
                <w:color w:val="000000"/>
                <w:sz w:val="20"/>
                <w:lang w:val="sq-AL"/>
              </w:rPr>
              <w:t>1.596</w:t>
            </w:r>
          </w:p>
        </w:tc>
        <w:tc>
          <w:tcPr>
            <w:tcW w:w="1045" w:type="dxa"/>
          </w:tcPr>
          <w:p w:rsidR="00BE6161" w:rsidRPr="005154CB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lang w:val="sq-AL"/>
              </w:rPr>
            </w:pPr>
            <w:r w:rsidRPr="005154CB">
              <w:rPr>
                <w:b/>
                <w:color w:val="000000"/>
                <w:sz w:val="20"/>
                <w:lang w:val="sq-AL"/>
              </w:rPr>
              <w:t>387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b/>
                <w:color w:val="000000"/>
                <w:sz w:val="20"/>
                <w:lang w:val="sq-AL"/>
              </w:rPr>
            </w:pPr>
            <w:r w:rsidRPr="005154CB">
              <w:rPr>
                <w:b/>
                <w:color w:val="000000"/>
                <w:sz w:val="20"/>
                <w:lang w:val="sq-AL"/>
              </w:rPr>
              <w:t>1.188</w:t>
            </w:r>
          </w:p>
        </w:tc>
        <w:tc>
          <w:tcPr>
            <w:tcW w:w="1170" w:type="dxa"/>
          </w:tcPr>
          <w:p w:rsidR="00BE6161" w:rsidRPr="005154CB" w:rsidRDefault="00BE6161" w:rsidP="00D627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0"/>
                <w:lang w:val="sq-AL"/>
              </w:rPr>
            </w:pPr>
            <w:r w:rsidRPr="005154CB">
              <w:rPr>
                <w:b/>
                <w:color w:val="000000"/>
                <w:sz w:val="20"/>
                <w:lang w:val="sq-AL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5154CB" w:rsidRDefault="00BE6161" w:rsidP="00D62770">
            <w:pPr>
              <w:jc w:val="right"/>
              <w:rPr>
                <w:b w:val="0"/>
                <w:color w:val="000000"/>
                <w:sz w:val="20"/>
                <w:lang w:val="sq-AL"/>
              </w:rPr>
            </w:pPr>
            <w:r w:rsidRPr="005154CB">
              <w:rPr>
                <w:b w:val="0"/>
                <w:color w:val="000000"/>
                <w:sz w:val="20"/>
                <w:lang w:val="sq-AL"/>
              </w:rPr>
              <w:t>4</w:t>
            </w:r>
          </w:p>
        </w:tc>
      </w:tr>
      <w:tr w:rsidR="00BE6161" w:rsidRPr="00681A40" w:rsidTr="00DA77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rPr>
                <w:b w:val="0"/>
                <w:color w:val="000000"/>
                <w:lang w:val="sq-AL"/>
              </w:rPr>
            </w:pPr>
            <w:r w:rsidRPr="00681A40">
              <w:rPr>
                <w:b w:val="0"/>
                <w:color w:val="000000"/>
                <w:lang w:val="sq-AL"/>
              </w:rPr>
              <w:t>Percent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/>
                <w:color w:val="000000"/>
                <w:lang w:val="sq-AL"/>
              </w:rPr>
            </w:pPr>
            <w:r w:rsidRPr="00681A40">
              <w:rPr>
                <w:b/>
                <w:color w:val="000000"/>
                <w:lang w:val="sq-AL"/>
              </w:rPr>
              <w:t>100%</w:t>
            </w:r>
          </w:p>
        </w:tc>
        <w:tc>
          <w:tcPr>
            <w:tcW w:w="1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lang w:val="sq-AL"/>
              </w:rPr>
            </w:pPr>
            <w:r w:rsidRPr="00681A40">
              <w:rPr>
                <w:b/>
                <w:color w:val="000000"/>
                <w:lang w:val="sq-AL"/>
              </w:rPr>
              <w:t>24.25%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/>
                <w:color w:val="000000"/>
                <w:lang w:val="sq-AL"/>
              </w:rPr>
            </w:pPr>
            <w:r w:rsidRPr="00681A40">
              <w:rPr>
                <w:b/>
                <w:color w:val="000000"/>
                <w:lang w:val="sq-AL"/>
              </w:rPr>
              <w:t>74.44%</w:t>
            </w:r>
          </w:p>
        </w:tc>
        <w:tc>
          <w:tcPr>
            <w:tcW w:w="11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lang w:val="sq-AL"/>
              </w:rPr>
            </w:pPr>
            <w:r w:rsidRPr="00681A40">
              <w:rPr>
                <w:b/>
                <w:color w:val="000000"/>
                <w:lang w:val="sq-AL"/>
              </w:rPr>
              <w:t>1.06%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E6161" w:rsidRPr="00681A40" w:rsidRDefault="00BE6161" w:rsidP="00D62770">
            <w:pPr>
              <w:jc w:val="right"/>
              <w:rPr>
                <w:b w:val="0"/>
                <w:color w:val="000000"/>
                <w:lang w:val="sq-AL"/>
              </w:rPr>
            </w:pPr>
            <w:r w:rsidRPr="00681A40">
              <w:rPr>
                <w:b w:val="0"/>
                <w:color w:val="000000"/>
                <w:lang w:val="sq-AL"/>
              </w:rPr>
              <w:t>0.25%</w:t>
            </w:r>
          </w:p>
        </w:tc>
      </w:tr>
    </w:tbl>
    <w:p w:rsidR="00BE6161" w:rsidRPr="00681A40" w:rsidRDefault="00BE6161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DA77C2" w:rsidRPr="00681A40" w:rsidRDefault="00DA77C2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47163F" w:rsidRPr="00681A40" w:rsidRDefault="00FD1C8F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 xml:space="preserve">Konventa 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>Ko</w:t>
      </w:r>
      <w:r w:rsidRPr="00681A40">
        <w:rPr>
          <w:rFonts w:ascii="Century Schoolbook" w:hAnsi="Century Schoolbook" w:cs="Arabic Typesetting"/>
          <w:color w:val="000000"/>
          <w:lang w:val="sq-AL"/>
        </w:rPr>
        <w:t>rniz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900C24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5"/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obligon shtetet an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 q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“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aprovojn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ku 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kjo e nevojshme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masat adekuate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afirmimin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gjitha sferat e jet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ekonomike,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soci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ale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, politik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 dhe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kulturo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re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barazis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plot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efektive 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mes pjes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tar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ëve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pakicave dhe atyre 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rkasin shumic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</w:t>
      </w:r>
      <w:r w:rsidR="00B13202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”</w:t>
      </w:r>
      <w:r w:rsidR="00B13202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.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</w:p>
    <w:p w:rsidR="005B327D" w:rsidRPr="00681A40" w:rsidRDefault="00FD1C8F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Bazuar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to detyrime ligjore 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domosdoshme nd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rmarrja e masave q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rshpejtojn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harmonizimin e participimit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shqiptar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gjitha institucionet sht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et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rore me pjes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a</w:t>
      </w:r>
      <w:r w:rsidRPr="00681A40">
        <w:rPr>
          <w:rFonts w:ascii="Century Schoolbook" w:hAnsi="Century Schoolbook" w:cs="Arabic Typesetting"/>
          <w:color w:val="000000"/>
          <w:lang w:val="sq-AL"/>
        </w:rPr>
        <w:t>rrjen e tyre n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popullat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p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rgjithshme t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tyre komunave</w:t>
      </w:r>
      <w:r w:rsidR="009C4EE3" w:rsidRPr="00681A40">
        <w:rPr>
          <w:rFonts w:ascii="Century Schoolbook" w:hAnsi="Century Schoolbook" w:cs="Arabic Typesetting"/>
          <w:color w:val="000000"/>
          <w:lang w:val="sq-AL"/>
        </w:rPr>
        <w:t>:</w:t>
      </w:r>
      <w:r w:rsidR="005B327D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</w:p>
    <w:p w:rsidR="009C4EE3" w:rsidRPr="00681A40" w:rsidRDefault="00365DC1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Policia lok</w:t>
      </w:r>
      <w:r w:rsidR="00FD1C8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ale dhe kufitare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9C4EE3" w:rsidRPr="00681A40" w:rsidRDefault="002D13DA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Inspekc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ionet r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epubli</w:t>
      </w:r>
      <w:r w:rsidR="00FD1C8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kane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9C4EE3" w:rsidRPr="00681A40" w:rsidRDefault="00FD1C8F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b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imi kadastral i paluejtshm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rive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9C4EE3" w:rsidRPr="00681A40" w:rsidRDefault="00FD1C8F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rbimin 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ardhurave publike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  <w:r w:rsidR="005B327D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</w:p>
    <w:p w:rsidR="009C4EE3" w:rsidRPr="00681A40" w:rsidRDefault="00FD1C8F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Institucionet e 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gjyqësisë</w:t>
      </w:r>
      <w:r w:rsidR="009C4EE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  <w:r w:rsidR="005B327D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</w:p>
    <w:p w:rsidR="00AA5A3A" w:rsidRPr="00681A40" w:rsidRDefault="00AA5A3A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PTT, Telekom, 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Elektroekonomi dhe gjith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nd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rmarrjet publike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themeluara nga shteti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,</w:t>
      </w:r>
    </w:p>
    <w:p w:rsidR="009C4EE3" w:rsidRPr="00681A40" w:rsidRDefault="005B327D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Instituci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onet e mbrojtjes sociale,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</w:p>
    <w:p w:rsidR="00B13202" w:rsidRPr="00681A40" w:rsidRDefault="00365DC1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Krijimin e mu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sis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institucionet regjionalisht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154CB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dekoncentruara (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cilat mbulojn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kompetencat jasht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kompetencave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qeverisjes lokale dhe KNSH)  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rfshirjen adekuate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shqiptar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654C3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</w:t>
      </w:r>
      <w:r w:rsidR="002F57B0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  <w:r w:rsidR="005B327D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</w:t>
      </w:r>
    </w:p>
    <w:p w:rsidR="00FA0694" w:rsidRPr="00681A40" w:rsidRDefault="005654C3" w:rsidP="009C4EE3">
      <w:pPr>
        <w:pStyle w:val="ListParagraph"/>
        <w:numPr>
          <w:ilvl w:val="0"/>
          <w:numId w:val="10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Meq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zgjidhjet aktuale ligjore nuk japin 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garanci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mjaftueshme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rfshierjen e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pakicave 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parlamentin republik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an, 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e nevojshme, 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rmes masave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diskriminimit pozitiv, 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sigurohet participimi i garantuar i pakicave n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institucion p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rfaq</w:t>
      </w:r>
      <w:r w:rsidR="0028345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sues</w:t>
      </w:r>
      <w:r w:rsidR="002F57B0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654C3" w:rsidRPr="00681A40" w:rsidRDefault="005654C3" w:rsidP="005654C3">
      <w:p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</w:p>
    <w:p w:rsidR="005654C3" w:rsidRPr="00681A40" w:rsidRDefault="005654C3" w:rsidP="005654C3">
      <w:p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</w:p>
    <w:p w:rsidR="005E45BF" w:rsidRPr="00681A40" w:rsidRDefault="005654C3" w:rsidP="005E45BF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REALIZIMI i SIGURIS</w:t>
      </w:r>
      <w:r w:rsidR="00283454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 xml:space="preserve"> S</w:t>
      </w:r>
      <w:r w:rsidR="00283454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 xml:space="preserve"> PLOT</w:t>
      </w:r>
      <w:r w:rsidR="00283454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</w:p>
    <w:p w:rsidR="005E45BF" w:rsidRPr="00681A40" w:rsidRDefault="00283454" w:rsidP="005E45BF">
      <w:pPr>
        <w:ind w:firstLine="720"/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 xml:space="preserve">Me 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>Plan</w:t>
      </w:r>
      <w:r w:rsidRPr="00681A40">
        <w:rPr>
          <w:rFonts w:ascii="Century Schoolbook" w:hAnsi="Century Schoolbook" w:cs="Arabic Typesetting"/>
          <w:color w:val="000000"/>
          <w:lang w:val="sq-AL"/>
        </w:rPr>
        <w:t>in dhe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Program</w:t>
      </w:r>
      <w:r w:rsidRPr="00681A40">
        <w:rPr>
          <w:rFonts w:ascii="Century Schoolbook" w:hAnsi="Century Schoolbook" w:cs="Arabic Typesetting"/>
          <w:color w:val="000000"/>
          <w:lang w:val="sq-AL"/>
        </w:rPr>
        <w:t>in e zgjidhjes 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kriz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komunat Bujanoc, Preshev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dhe Medvegj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(</w:t>
      </w:r>
      <w:r w:rsidRPr="00681A40">
        <w:rPr>
          <w:rFonts w:ascii="Century Schoolbook" w:hAnsi="Century Schoolbook" w:cs="Arabic Typesetting"/>
          <w:color w:val="000000"/>
          <w:lang w:val="sq-AL"/>
        </w:rPr>
        <w:t>Qeveria e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SRJ </w:t>
      </w:r>
      <w:r w:rsidRPr="00681A40">
        <w:rPr>
          <w:rFonts w:ascii="Century Schoolbook" w:hAnsi="Century Schoolbook" w:cs="Arabic Typesetting"/>
          <w:color w:val="000000"/>
          <w:lang w:val="sq-AL"/>
        </w:rPr>
        <w:t>dhe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Qeveria e RS) nga viti 2001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>, Aneks</w:t>
      </w:r>
      <w:r w:rsidRPr="00681A40">
        <w:rPr>
          <w:rFonts w:ascii="Century Schoolbook" w:hAnsi="Century Schoolbook" w:cs="Arabic Typesetting"/>
          <w:color w:val="000000"/>
          <w:lang w:val="sq-AL"/>
        </w:rPr>
        <w:t>i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5b </w:t>
      </w:r>
      <w:r w:rsidRPr="00681A40">
        <w:rPr>
          <w:rFonts w:ascii="Century Schoolbook" w:hAnsi="Century Schoolbook" w:cs="Arabic Typesetting"/>
          <w:color w:val="000000"/>
          <w:lang w:val="sq-AL"/>
        </w:rPr>
        <w:t>al.2 p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>. 2 p</w:t>
      </w:r>
      <w:r w:rsidRPr="00681A40">
        <w:rPr>
          <w:rFonts w:ascii="Century Schoolbook" w:hAnsi="Century Schoolbook" w:cs="Arabic Typesetting"/>
          <w:color w:val="000000"/>
          <w:lang w:val="sq-AL"/>
        </w:rPr>
        <w:t>arasheh q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rivendosja e paqes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rajon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nkupton edhe 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“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rheqjen e gjith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forcave </w:t>
      </w:r>
      <w:r w:rsidR="002D13D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speciale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policore dhe ushtarake dhe formimi i policis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multietnike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“.</w:t>
      </w:r>
    </w:p>
    <w:p w:rsidR="005E45BF" w:rsidRPr="00681A40" w:rsidRDefault="00283454" w:rsidP="005E45BF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Por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, 12 </w:t>
      </w:r>
      <w:r w:rsidRPr="00681A40">
        <w:rPr>
          <w:rFonts w:ascii="Century Schoolbook" w:hAnsi="Century Schoolbook" w:cs="Arabic Typesetting"/>
          <w:color w:val="000000"/>
          <w:lang w:val="sq-AL"/>
        </w:rPr>
        <w:t>vjet  pas aprovimit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Programit, Lugina e Preshe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v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mbetet i vetmi rajon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serbi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cilin pa nd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rprer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jan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angazhuara forcat special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siguris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rajon.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Ato kufizojn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lirin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qarkullimit, nd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rkoh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q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me krijimin e im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azhit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ekzistimit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gjendjes 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jasht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zakonshme paraqesin edhe fak</w:t>
      </w:r>
      <w:r w:rsidRPr="00681A40">
        <w:rPr>
          <w:rFonts w:ascii="Century Schoolbook" w:hAnsi="Century Schoolbook" w:cs="Arabic Typesetting"/>
          <w:color w:val="000000"/>
          <w:lang w:val="sq-AL"/>
        </w:rPr>
        <w:t>tor kufizues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vullnetin e investitor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potencial.</w:t>
      </w:r>
    </w:p>
    <w:p w:rsidR="005E45BF" w:rsidRPr="00681A40" w:rsidRDefault="00283454" w:rsidP="005E45BF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Veç k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saj, ato, duke qen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shum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her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kyçura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arrestimin, bastisjen dhe keqtrajtimin e ish pjes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UÇPMB-s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, drejtp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rdrejt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kan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marr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pjes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ngritjen e tensioneve dhe pak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naq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popullat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lo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k</w:t>
      </w:r>
      <w:r w:rsidRPr="00681A40">
        <w:rPr>
          <w:rFonts w:ascii="Century Schoolbook" w:hAnsi="Century Schoolbook" w:cs="Arabic Typesetting"/>
          <w:color w:val="000000"/>
          <w:lang w:val="sq-AL"/>
        </w:rPr>
        <w:t>ale.</w:t>
      </w:r>
    </w:p>
    <w:p w:rsidR="005E45BF" w:rsidRPr="00681A40" w:rsidRDefault="00283454" w:rsidP="005E45BF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Ndikim negative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zhvillimin e ngjarjeve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rajon paraqet edhe gjuha e urrejtjes dhe akuzuese e funkcioner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sht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et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or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cil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rdorin  ndaj shqiptar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ve. 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rdorimi i </w:t>
      </w:r>
      <w:r w:rsidRPr="00681A40">
        <w:rPr>
          <w:rFonts w:ascii="Century Schoolbook" w:hAnsi="Century Schoolbook" w:cs="Arabic Typesetting"/>
          <w:color w:val="000000"/>
          <w:lang w:val="sq-AL"/>
        </w:rPr>
        <w:lastRenderedPageBreak/>
        <w:t xml:space="preserve">termit 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>“ter</w:t>
      </w:r>
      <w:r w:rsidRPr="00681A40">
        <w:rPr>
          <w:rFonts w:ascii="Century Schoolbook" w:hAnsi="Century Schoolbook" w:cs="Arabic Typesetting"/>
          <w:color w:val="000000"/>
          <w:lang w:val="sq-AL"/>
        </w:rPr>
        <w:t>r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orist”, </w:t>
      </w:r>
      <w:r w:rsidRPr="00681A40">
        <w:rPr>
          <w:rFonts w:ascii="Century Schoolbook" w:hAnsi="Century Schoolbook" w:cs="Arabic Typesetting"/>
          <w:color w:val="000000"/>
          <w:lang w:val="sq-AL"/>
        </w:rPr>
        <w:t>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fundmi edhe krahasimi me 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 „al-Qaeda-om“</w:t>
      </w:r>
      <w:r w:rsidR="005E45BF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6"/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Pr="00681A40">
        <w:rPr>
          <w:rFonts w:ascii="Century Schoolbook" w:hAnsi="Century Schoolbook" w:cs="Arabic Typesetting"/>
          <w:color w:val="000000"/>
          <w:lang w:val="sq-AL"/>
        </w:rPr>
        <w:t>ka ndikim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rdrejt jo vet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disponimin e popullat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s, por paraqet edhe fak</w:t>
      </w:r>
      <w:r w:rsidRPr="00681A40">
        <w:rPr>
          <w:rFonts w:ascii="Century Schoolbook" w:hAnsi="Century Schoolbook" w:cs="Arabic Typesetting"/>
          <w:color w:val="000000"/>
          <w:lang w:val="sq-AL"/>
        </w:rPr>
        <w:t>tor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 xml:space="preserve"> pengese  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r bashk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punim me institucionet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. 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Krijohet 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rshtypja se gjuha e forc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s paraqet metod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>n e vetme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 xml:space="preserve"> komunikimit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 xml:space="preserve"> Beogradit zyrtar me shqiptar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7B1DAC" w:rsidRPr="00681A40">
        <w:rPr>
          <w:rFonts w:ascii="Century Schoolbook" w:hAnsi="Century Schoolbook" w:cs="Arabic Typesetting"/>
          <w:color w:val="000000"/>
          <w:lang w:val="sq-AL"/>
        </w:rPr>
        <w:t xml:space="preserve">t. </w:t>
      </w:r>
    </w:p>
    <w:p w:rsidR="007B1DAC" w:rsidRPr="00681A40" w:rsidRDefault="007B1DAC" w:rsidP="005E45BF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Arrestimet e shpeshta dhe spektakolare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ish luft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ve, lirimi i tyre i m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vonsh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munges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fakteve, paraqet shkelje drastike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Ligjit p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Amnistin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pjes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tarev</w:t>
      </w:r>
      <w:r w:rsidR="00180D61">
        <w:rPr>
          <w:rFonts w:ascii="Century Schoolbook" w:hAnsi="Century Schoolbook" w:cs="Arabic Typesetting"/>
          <w:color w:val="000000"/>
          <w:lang w:val="sq-AL"/>
        </w:rPr>
        <w:t>e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UÇPMB-s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, dhe krijon prezumimin  e pasiguris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juridike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personit, q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me vete sjell edhe val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refugjat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drejtim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BE-s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.</w:t>
      </w:r>
    </w:p>
    <w:p w:rsidR="005E45BF" w:rsidRPr="00681A40" w:rsidRDefault="007B1DAC" w:rsidP="005E45BF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inter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vendosjes 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paqes afatgjate dhe siguris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rajon, 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nevojsh</w:t>
      </w:r>
      <w:r w:rsidR="00F51F49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</w:t>
      </w:r>
      <w:r w:rsidR="005E45BF" w:rsidRPr="00681A40">
        <w:rPr>
          <w:rFonts w:ascii="Century Schoolbook" w:hAnsi="Century Schoolbook" w:cs="Arabic Typesetting"/>
          <w:color w:val="000000"/>
          <w:lang w:val="sq-AL"/>
        </w:rPr>
        <w:t xml:space="preserve">: </w:t>
      </w:r>
    </w:p>
    <w:p w:rsidR="005E45BF" w:rsidRPr="00681A40" w:rsidRDefault="007B1DAC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Respektimi i plot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 Lig</w:t>
      </w:r>
      <w:r w:rsidR="002D13D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j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it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Amnisti nga viti 2001, respektimi i gjith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marr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veshjeve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arritura nga koha e 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konflikt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it</w:t>
      </w:r>
      <w:r w:rsidR="005E45BF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7"/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dhe n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rprerjen e çfar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do ndjekje penale politikisht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motivuar, lirimi it 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burgosurve politik i ashtq</w:t>
      </w:r>
      <w:r w:rsidR="00843E2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. “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grupi </w:t>
      </w:r>
      <w:r w:rsidR="00843E2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Gjilan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it</w:t>
      </w:r>
      <w:r w:rsidR="00843E24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”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</w:p>
    <w:p w:rsidR="005E45BF" w:rsidRPr="00681A40" w:rsidRDefault="00AA5A3A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Zhvendosja e forcave special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siguris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nga rajoni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. </w:t>
      </w:r>
    </w:p>
    <w:p w:rsidR="005E45BF" w:rsidRPr="00681A40" w:rsidRDefault="007B1DAC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Sigurohet q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policia multietnike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jet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forca e vetme e siguris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q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kujdeset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rendin dhe qet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sin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to komuna, me respektimin e plot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Parimeve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krijimit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policis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multietnike</w:t>
      </w:r>
      <w:r w:rsidR="00AA5A3A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8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7B1DAC" w:rsidP="005E45BF">
      <w:pPr>
        <w:pStyle w:val="ListParagraph"/>
        <w:numPr>
          <w:ilvl w:val="1"/>
          <w:numId w:val="11"/>
        </w:numPr>
        <w:spacing w:before="240" w:line="240" w:lineRule="auto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Sigurimin e  lir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plot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qarkullimit me heqjen e taksave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imponuara, hapjen e vendkalimeve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reja kufitare me 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Ma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q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edoni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dhe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 Kosov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5E45BF" w:rsidP="005E45BF">
      <w:pPr>
        <w:pStyle w:val="ListParagraph"/>
        <w:numPr>
          <w:ilvl w:val="1"/>
          <w:numId w:val="11"/>
        </w:numPr>
        <w:spacing w:before="240" w:line="240" w:lineRule="auto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Procesui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min e ra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vrasjeve dhe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kidnap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imeve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shqiptar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  n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periudh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7B1DA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1999-2001</w:t>
      </w:r>
      <w:r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9"/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333E69" w:rsidP="005E45BF">
      <w:pPr>
        <w:pStyle w:val="ListParagraph"/>
        <w:numPr>
          <w:ilvl w:val="1"/>
          <w:numId w:val="11"/>
        </w:numPr>
        <w:spacing w:before="240" w:line="240" w:lineRule="auto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Aplikimin e masave efektive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kthimin e popullat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zhvendosur me sigurimin e fondeve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veçanta</w:t>
      </w:r>
      <w:r w:rsidR="005E45BF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0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E12D2A" w:rsidRPr="00681A40" w:rsidRDefault="006156ED" w:rsidP="005E45BF">
      <w:pPr>
        <w:pStyle w:val="ListParagraph"/>
        <w:numPr>
          <w:ilvl w:val="1"/>
          <w:numId w:val="11"/>
        </w:numPr>
        <w:spacing w:before="240" w:line="240" w:lineRule="auto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Sigurimin 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drejt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dokumentet personale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banor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tyre komunave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zhvendosur m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1999-2000;</w:t>
      </w:r>
    </w:p>
    <w:p w:rsidR="005E45BF" w:rsidRPr="00681A40" w:rsidRDefault="006156ED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Garantimi i liris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plot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sh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nimin e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drejt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Festave komb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tare</w:t>
      </w:r>
      <w:r w:rsidR="005E45BF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1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dhe data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 tjera me 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nd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si, sepse kjo e drejt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konsiderohet 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“l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iri e shprehjes” (nen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.10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Konvent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europiane 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drejtat e njeriut</w:t>
      </w:r>
      <w:r w:rsidR="005E45BF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2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)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dhe sit 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till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duhet traj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uar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. </w:t>
      </w:r>
    </w:p>
    <w:p w:rsidR="005E45BF" w:rsidRPr="00681A40" w:rsidRDefault="006156ED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Largimi i memorialit 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xhand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a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rmeris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nga fsh. Llu</w:t>
      </w:r>
      <w:r w:rsidRPr="00681A40">
        <w:rPr>
          <w:rFonts w:ascii="Times New Roman" w:hAnsi="Times New Roman"/>
          <w:i/>
          <w:color w:val="000000"/>
          <w:highlight w:val="lightGray"/>
          <w:lang w:val="sq-AL"/>
        </w:rPr>
        <w:t>çan n</w:t>
      </w:r>
      <w:r w:rsidR="00F51F49" w:rsidRPr="00681A40">
        <w:rPr>
          <w:rFonts w:ascii="Times New Roman" w:hAnsi="Times New Roman"/>
          <w:i/>
          <w:color w:val="000000"/>
          <w:highlight w:val="lightGray"/>
          <w:lang w:val="sq-AL"/>
        </w:rPr>
        <w:t>ë</w:t>
      </w:r>
      <w:r w:rsidRPr="00681A40">
        <w:rPr>
          <w:rFonts w:ascii="Times New Roman" w:hAnsi="Times New Roman"/>
          <w:i/>
          <w:color w:val="000000"/>
          <w:highlight w:val="lightGray"/>
          <w:lang w:val="sq-AL"/>
        </w:rPr>
        <w:t xml:space="preserve"> interes</w:t>
      </w:r>
      <w:r w:rsidR="00365DC1" w:rsidRPr="00681A40">
        <w:rPr>
          <w:rFonts w:ascii="Times New Roman" w:hAnsi="Times New Roman"/>
          <w:i/>
          <w:color w:val="000000"/>
          <w:highlight w:val="lightGray"/>
          <w:lang w:val="sq-AL"/>
        </w:rPr>
        <w:t xml:space="preserve"> </w:t>
      </w:r>
      <w:r w:rsidRPr="00681A40">
        <w:rPr>
          <w:rFonts w:ascii="Times New Roman" w:hAnsi="Times New Roman"/>
          <w:i/>
          <w:color w:val="000000"/>
          <w:highlight w:val="lightGray"/>
          <w:lang w:val="sq-AL"/>
        </w:rPr>
        <w:t>t</w:t>
      </w:r>
      <w:r w:rsidR="00F51F49" w:rsidRPr="00681A40">
        <w:rPr>
          <w:rFonts w:ascii="Times New Roman" w:hAnsi="Times New Roman"/>
          <w:i/>
          <w:color w:val="000000"/>
          <w:highlight w:val="lightGray"/>
          <w:lang w:val="sq-AL"/>
        </w:rPr>
        <w:t>ë</w:t>
      </w:r>
      <w:r w:rsidRPr="00681A40">
        <w:rPr>
          <w:rFonts w:ascii="Times New Roman" w:hAnsi="Times New Roman"/>
          <w:i/>
          <w:color w:val="000000"/>
          <w:highlight w:val="lightGray"/>
          <w:lang w:val="sq-AL"/>
        </w:rPr>
        <w:t xml:space="preserve"> stabilitetit,</w:t>
      </w:r>
    </w:p>
    <w:p w:rsidR="005E45BF" w:rsidRPr="00681A40" w:rsidRDefault="006156ED" w:rsidP="005E45BF">
      <w:pPr>
        <w:pStyle w:val="ListParagraph"/>
        <w:numPr>
          <w:ilvl w:val="1"/>
          <w:numId w:val="11"/>
        </w:num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Kthimi i lapidarit t</w:t>
      </w:r>
      <w:r w:rsidR="00F51F49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d</w:t>
      </w:r>
      <w:r w:rsidR="00F51F49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shmor</w:t>
      </w:r>
      <w:r w:rsidR="00F51F49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ve t</w:t>
      </w:r>
      <w:r w:rsidR="00F51F49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UÇPMB-s</w:t>
      </w:r>
      <w:r w:rsidR="00F51F49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5E45BF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;</w:t>
      </w:r>
    </w:p>
    <w:p w:rsidR="005E45BF" w:rsidRPr="00681A40" w:rsidRDefault="006156ED" w:rsidP="005E45BF">
      <w:pPr>
        <w:pStyle w:val="ListParagraph"/>
        <w:numPr>
          <w:ilvl w:val="1"/>
          <w:numId w:val="11"/>
        </w:numPr>
        <w:spacing w:before="240" w:line="240" w:lineRule="auto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lastRenderedPageBreak/>
        <w:t>Nd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rprerjen e gjuh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urrejtjes dhe mosp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rdorimi i termit 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„ter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orist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 shqiptar</w:t>
      </w:r>
      <w:r w:rsidR="00F51F49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“ </w:t>
      </w:r>
      <w:r w:rsidR="005E45BF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3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5E45BF" w:rsidP="005E45BF">
      <w:pPr>
        <w:pStyle w:val="ListParagraph"/>
        <w:spacing w:after="0"/>
        <w:ind w:left="180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51337A" w:rsidRPr="00681A40" w:rsidRDefault="0051337A" w:rsidP="00B71502">
      <w:p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6C48AC" w:rsidRPr="00681A40" w:rsidRDefault="006C48AC" w:rsidP="00B71502">
      <w:p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154C1C" w:rsidRPr="00681A40" w:rsidRDefault="00CC240E" w:rsidP="00154C1C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ZHVILLIMI EKONOMIK</w:t>
      </w:r>
    </w:p>
    <w:p w:rsidR="00CC240E" w:rsidRPr="00681A40" w:rsidRDefault="00CC240E" w:rsidP="00CC240E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Lugina E Preshev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paraqet rajonin 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pazhvilluar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Serbi. Presheva, psh., komun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me mbi 90% shqiptar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komuna 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pazhvilluar me vet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200 Euro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kok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banori, ose, me bruto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ardhura  prej vet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m </w:t>
      </w:r>
      <w:r w:rsidR="00154C1C" w:rsidRPr="00681A40">
        <w:rPr>
          <w:rFonts w:ascii="Century Schoolbook" w:hAnsi="Century Schoolbook" w:cs="Arabic Typesetting"/>
          <w:color w:val="000000"/>
          <w:lang w:val="sq-AL"/>
        </w:rPr>
        <w:t xml:space="preserve">14,8% 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GDP, me shkall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rekorde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papun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prej 70%. Parametra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ngjash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vlejn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edhe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Bujanocin. Kjo gjendje e 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shkaktar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 e largimit masiv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rinjve nga ky rajon.</w:t>
      </w:r>
    </w:p>
    <w:p w:rsidR="00154C1C" w:rsidRPr="00681A40" w:rsidRDefault="00CC240E" w:rsidP="00154C1C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Arsyet e ekzistimit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saj gjendje duhet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kruar</w:t>
      </w:r>
      <w:r w:rsidR="00154C1C" w:rsidRPr="00681A40">
        <w:rPr>
          <w:rFonts w:ascii="Century Schoolbook" w:hAnsi="Century Schoolbook" w:cs="Arabic Typesetting"/>
          <w:color w:val="000000"/>
          <w:lang w:val="sq-AL"/>
        </w:rPr>
        <w:t>: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- 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shkat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rrimin e nd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rmarrjeve shoq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rore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; 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- 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privatizimin e pasukse</w:t>
      </w:r>
      <w:r w:rsidR="00365DC1" w:rsidRPr="00681A40">
        <w:rPr>
          <w:rFonts w:ascii="Century Schoolbook" w:hAnsi="Century Schoolbook" w:cs="Arabic Typesetting"/>
          <w:i/>
          <w:color w:val="000000"/>
          <w:lang w:val="sq-AL"/>
        </w:rPr>
        <w:t>s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sh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m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; 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- 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munges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s s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strategjis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shtet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rore p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lang w:val="sq-AL"/>
        </w:rPr>
        <w:t>r zhvillim ekonomik</w:t>
      </w:r>
      <w:r w:rsidRPr="00681A40">
        <w:rPr>
          <w:rFonts w:ascii="Century Schoolbook" w:hAnsi="Century Schoolbook" w:cs="Arabic Typesetting"/>
          <w:color w:val="000000"/>
          <w:lang w:val="sq-AL"/>
        </w:rPr>
        <w:t>;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CC240E" w:rsidRPr="00681A40" w:rsidRDefault="00CC240E" w:rsidP="00154C1C">
      <w:pPr>
        <w:spacing w:after="0"/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Edhe program i 2001 parasheh obligimin e shtetit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zhvillimin ekonomik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rajonit. Nj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obligim i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till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rrjedh edhe nga Program i nxitjes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barabart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zhvillimit regjional,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qeveris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Serbis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, por,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12 vjet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zhvillimit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procesit politik vet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350.000 euro subvencione jan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veprimtarit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ekonomike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tij rajoni.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154C1C" w:rsidRPr="00681A40" w:rsidRDefault="00CC240E" w:rsidP="00154C1C">
      <w:pPr>
        <w:spacing w:after="0"/>
        <w:ind w:firstLine="72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color w:val="000000"/>
          <w:lang w:val="sq-AL"/>
        </w:rPr>
        <w:t>Masat aktive t</w:t>
      </w:r>
      <w:r w:rsidR="00DB677E" w:rsidRPr="00681A40">
        <w:rPr>
          <w:rFonts w:ascii="Century Schoolbook" w:hAnsi="Century Schoolbook" w:cs="Arabic Typesetting"/>
          <w:b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lang w:val="sq-AL"/>
        </w:rPr>
        <w:t xml:space="preserve"> zhvillimit ekonomik q</w:t>
      </w:r>
      <w:r w:rsidR="00DB677E" w:rsidRPr="00681A40">
        <w:rPr>
          <w:rFonts w:ascii="Century Schoolbook" w:hAnsi="Century Schoolbook" w:cs="Arabic Typesetting"/>
          <w:b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lang w:val="sq-AL"/>
        </w:rPr>
        <w:t xml:space="preserve"> duhen nd</w:t>
      </w:r>
      <w:r w:rsidR="00DB677E" w:rsidRPr="00681A40">
        <w:rPr>
          <w:rFonts w:ascii="Century Schoolbook" w:hAnsi="Century Schoolbook" w:cs="Arabic Typesetting"/>
          <w:b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b/>
          <w:color w:val="000000"/>
          <w:lang w:val="sq-AL"/>
        </w:rPr>
        <w:t>rmarr</w:t>
      </w:r>
      <w:r w:rsidR="00DB677E" w:rsidRPr="00681A40">
        <w:rPr>
          <w:rFonts w:ascii="Century Schoolbook" w:hAnsi="Century Schoolbook" w:cs="Arabic Typesetting"/>
          <w:b/>
          <w:color w:val="000000"/>
          <w:lang w:val="sq-AL"/>
        </w:rPr>
        <w:t>ë</w:t>
      </w:r>
      <w:r w:rsidR="00154C1C" w:rsidRPr="00681A40">
        <w:rPr>
          <w:rFonts w:ascii="Century Schoolbook" w:hAnsi="Century Schoolbook" w:cs="Arabic Typesetting"/>
          <w:b/>
          <w:color w:val="000000"/>
          <w:lang w:val="sq-AL"/>
        </w:rPr>
        <w:t>:</w:t>
      </w:r>
    </w:p>
    <w:p w:rsidR="00154C1C" w:rsidRPr="00681A40" w:rsidRDefault="00154C1C" w:rsidP="00154C1C">
      <w:pPr>
        <w:spacing w:after="0"/>
        <w:ind w:firstLine="720"/>
        <w:jc w:val="both"/>
        <w:rPr>
          <w:rFonts w:ascii="Century Schoolbook" w:hAnsi="Century Schoolbook" w:cs="Arabic Typesetting"/>
          <w:b/>
          <w:color w:val="000000"/>
          <w:lang w:val="sq-AL"/>
        </w:rPr>
      </w:pPr>
    </w:p>
    <w:p w:rsidR="00154C1C" w:rsidRPr="00681A40" w:rsidRDefault="00CC240E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Ngritjen e stimulimeve 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bizn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e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sin lokal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(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sigurimi i subvencioneve dhe kredive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volitshme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);</w:t>
      </w:r>
    </w:p>
    <w:p w:rsidR="00154C1C" w:rsidRPr="00681A40" w:rsidRDefault="00154C1C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Stimuli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mi i investitor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huaj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investim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CC240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to komuna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154C1C" w:rsidRPr="00681A40" w:rsidRDefault="00CC240E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Investime n</w:t>
      </w:r>
      <w:r w:rsidR="00DB677E"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rmir</w:t>
      </w:r>
      <w:r w:rsidR="00DB677E"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simin e infrastruktur</w:t>
      </w:r>
      <w:r w:rsidR="00DB677E"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s dhe ngritja e Zonave industriale</w:t>
      </w:r>
      <w:r w:rsidR="00154C1C" w:rsidRPr="00681A40">
        <w:rPr>
          <w:rFonts w:ascii="Century Schoolbook" w:hAnsi="Century Schoolbook" w:cs="Arabic Typesetting"/>
          <w:i/>
          <w:color w:val="000000"/>
          <w:sz w:val="20"/>
          <w:highlight w:val="lightGray"/>
          <w:lang w:val="sq-AL"/>
        </w:rPr>
        <w:t>;</w:t>
      </w:r>
    </w:p>
    <w:p w:rsidR="00154C1C" w:rsidRPr="00681A40" w:rsidRDefault="00CC240E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Hapja e vendkalimeve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vogla kufitare dhe nxitja e bashk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punimit nd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rkufitar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,</w:t>
      </w:r>
    </w:p>
    <w:p w:rsidR="00154C1C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Krijimi i Zon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lir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doganore</w:t>
      </w:r>
      <w:r w:rsidR="00154C1C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;</w:t>
      </w:r>
    </w:p>
    <w:p w:rsidR="00154C1C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Vendosja e fondeve 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IPA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BE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(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bashk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punim nd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rkufitar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);</w:t>
      </w:r>
    </w:p>
    <w:p w:rsidR="00154C1C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rfundimi i Korridorit 10, traseja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Bujanoc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dhe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Pre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shev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154C1C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870230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Gjat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2013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sigurohen mjete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veçanta nga Buxheti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hapjen e vendeve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reja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pun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</w:t>
      </w:r>
      <w:r w:rsidR="00870230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4B6ECA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hetohen dhe anulohen gjith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privatizimet e dyshimta dhe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rfundohet procesi i shtet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zimit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disa nd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rmarrjeve dhe kthimi i pron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sis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mbi to komunave</w:t>
      </w:r>
      <w:r w:rsidR="004B6ECA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4"/>
      </w:r>
      <w:r w:rsidR="004B6EC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B354A8" w:rsidRPr="00681A40" w:rsidRDefault="00D16A8B" w:rsidP="00154C1C">
      <w:pPr>
        <w:pStyle w:val="ListParagraph"/>
        <w:numPr>
          <w:ilvl w:val="0"/>
          <w:numId w:val="12"/>
        </w:numPr>
        <w:spacing w:after="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themelohet Fond i veçant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zhvillimin e  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tyre komunave nga Buxheti, pjes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dogan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q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mblidhet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to komuna, donacioneve nd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rkomb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tare me pjes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marrjen e Kosov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dhe Shqip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ris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E12D2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B71502" w:rsidRPr="00681A40" w:rsidRDefault="00B71502" w:rsidP="00B71502">
      <w:p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47163F" w:rsidRPr="00681A40" w:rsidRDefault="0047163F" w:rsidP="009C4EE3">
      <w:pPr>
        <w:spacing w:after="0"/>
        <w:jc w:val="both"/>
        <w:rPr>
          <w:rFonts w:ascii="Century Schoolbook" w:hAnsi="Century Schoolbook" w:cs="Arabic Typesetting"/>
          <w:b/>
          <w:color w:val="000000"/>
          <w:lang w:val="sq-AL"/>
        </w:rPr>
      </w:pPr>
    </w:p>
    <w:p w:rsidR="00B13202" w:rsidRPr="00681A40" w:rsidRDefault="00D16A8B" w:rsidP="00B13202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P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RDORIMI ZYRTAR i GJUH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S, SHKRIMIT DHE SIMBOLEVE</w:t>
      </w:r>
    </w:p>
    <w:p w:rsidR="00B13202" w:rsidRPr="00681A40" w:rsidRDefault="00D16A8B" w:rsidP="00F409BE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E DREJTA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RDORIM ZYRTAR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GJUH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S DHE SHKRIMIT 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garantuar me nen. 10 dhe</w:t>
      </w:r>
      <w:r w:rsidR="00B13202" w:rsidRPr="00681A40">
        <w:rPr>
          <w:rFonts w:ascii="Century Schoolbook" w:hAnsi="Century Schoolbook" w:cs="Arabic Typesetting"/>
          <w:color w:val="000000"/>
          <w:lang w:val="sq-AL"/>
        </w:rPr>
        <w:t xml:space="preserve"> 11 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Ligjit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mbrojtjen 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drejtave dhe lirive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pakicave, nen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>.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79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Kushtetut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 xml:space="preserve"> RS, </w:t>
      </w:r>
      <w:r w:rsidRPr="00681A40">
        <w:rPr>
          <w:rFonts w:ascii="Century Schoolbook" w:hAnsi="Century Schoolbook" w:cs="Arabic Typesetting"/>
          <w:color w:val="000000"/>
          <w:lang w:val="sq-AL"/>
        </w:rPr>
        <w:t>dhe nen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 xml:space="preserve">. 10 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Konvent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Korniz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 xml:space="preserve">. 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Nen. 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>11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 Ligjit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nyr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detale rregullon se kur dhe si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rdoret zyrtarisht gjuha e pakicave, 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Konventa,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nen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 xml:space="preserve">.10 </w:t>
      </w:r>
      <w:r w:rsidR="00B0754B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“</w:t>
      </w:r>
      <w:r w:rsidR="00B0754B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o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bligon shtetet an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tare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njohin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drejt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e secilit pjes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tar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pakic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rdorim, lirisht dhe pa pengesa, gjuh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e vet amtare, privat dhe publikisht, me shkrim apo me goj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B42E68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“</w:t>
      </w:r>
      <w:r w:rsidR="00B0754B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.</w:t>
      </w:r>
      <w:r w:rsidR="00B0754B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</w:p>
    <w:p w:rsidR="000C034A" w:rsidRPr="00681A40" w:rsidRDefault="00D16A8B" w:rsidP="00B0754B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Duke konsiderfuar se shoq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ria e v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rtet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demokratike duhet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respektoj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identitetin gjuh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sor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pjes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tarë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pakicave, duhet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ndërmerren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masat e barazis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efektive  para ligjit 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l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>mi dhe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eliminohen gjitha pengesat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cilat pengojn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rdorimin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publik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gjuh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>s shqipe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 xml:space="preserve"> territorin e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0C034A" w:rsidRPr="00681A40">
        <w:rPr>
          <w:rFonts w:ascii="Century Schoolbook" w:hAnsi="Century Schoolbook" w:cs="Arabic Typesetting"/>
          <w:color w:val="000000"/>
          <w:lang w:val="sq-AL"/>
        </w:rPr>
        <w:t>tyre komunave:</w:t>
      </w:r>
    </w:p>
    <w:p w:rsidR="0051337A" w:rsidRPr="00681A40" w:rsidRDefault="00B0754B" w:rsidP="00B0754B">
      <w:pPr>
        <w:ind w:firstLine="72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b/>
          <w:color w:val="000000"/>
          <w:lang w:val="sq-AL"/>
        </w:rPr>
        <w:t xml:space="preserve"> </w:t>
      </w:r>
    </w:p>
    <w:p w:rsidR="0051337A" w:rsidRPr="00681A40" w:rsidRDefault="000C034A" w:rsidP="0051337A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procedur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administrative dhe gjuh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sore dhe 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udhëheqjen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e procedur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 administrative dhe gjuh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sore</w:t>
      </w:r>
      <w:r w:rsidR="00B0754B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</w:p>
    <w:p w:rsidR="0051337A" w:rsidRPr="00681A40" w:rsidRDefault="000C034A" w:rsidP="0051337A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komunikimin e organeve me autorizime publike me qytetar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B0754B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</w:p>
    <w:p w:rsidR="0047163F" w:rsidRDefault="00365DC1" w:rsidP="0051337A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Dhënien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e dokumenteve publike dhe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udhëheqjen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e evidencave zyrtare , regjistrat 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nave personale dhe pranimin e k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tyre dokumenteve sit 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0C034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plotfuqishme</w:t>
      </w:r>
      <w:r w:rsidR="00B0754B" w:rsidRPr="00681A40">
        <w:rPr>
          <w:rFonts w:ascii="Century Schoolbook" w:hAnsi="Century Schoolbook" w:cs="Arabic Typesetting"/>
          <w:b/>
          <w:color w:val="000000"/>
          <w:highlight w:val="lightGray"/>
          <w:lang w:val="sq-AL"/>
        </w:rPr>
        <w:t>.</w:t>
      </w:r>
      <w:r w:rsidR="00B0754B" w:rsidRPr="00681A40">
        <w:rPr>
          <w:rFonts w:ascii="Century Schoolbook" w:hAnsi="Century Schoolbook" w:cs="Arabic Typesetting"/>
          <w:b/>
          <w:color w:val="000000"/>
          <w:lang w:val="sq-AL"/>
        </w:rPr>
        <w:t xml:space="preserve"> </w:t>
      </w:r>
    </w:p>
    <w:p w:rsidR="00AF4EA0" w:rsidRPr="00AF4EA0" w:rsidRDefault="00AF4EA0" w:rsidP="00AF4EA0">
      <w:pPr>
        <w:numPr>
          <w:ilvl w:val="0"/>
          <w:numId w:val="10"/>
        </w:numPr>
        <w:spacing w:after="0" w:line="240" w:lineRule="auto"/>
        <w:rPr>
          <w:i/>
          <w:highlight w:val="lightGray"/>
        </w:rPr>
      </w:pPr>
      <w:r w:rsidRPr="00AF4EA0">
        <w:rPr>
          <w:i/>
          <w:highlight w:val="lightGray"/>
        </w:rPr>
        <w:t>Gjidhja e problemit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“personave juridikisht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panjohur”, respektivisht problemin e shlyerjes nga evidence e vendbanimit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p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rsonave,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zhvendosur  n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periudh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n e konflikteve; </w:t>
      </w:r>
    </w:p>
    <w:p w:rsidR="00AF4EA0" w:rsidRPr="00AF4EA0" w:rsidRDefault="00AF4EA0" w:rsidP="00AF4EA0">
      <w:pPr>
        <w:numPr>
          <w:ilvl w:val="0"/>
          <w:numId w:val="10"/>
        </w:numPr>
        <w:spacing w:after="0" w:line="240" w:lineRule="auto"/>
        <w:rPr>
          <w:i/>
          <w:highlight w:val="lightGray"/>
        </w:rPr>
      </w:pPr>
      <w:r w:rsidRPr="00AF4EA0">
        <w:rPr>
          <w:i/>
          <w:highlight w:val="lightGray"/>
        </w:rPr>
        <w:t>Zgjidhja e ç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shtjes s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vendbanmimit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f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mijve 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lindur n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spitalet e Kosov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s, familjet e t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cil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ve jetojn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 n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Preshev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>, Bujanoc dhe Medvegj</w:t>
      </w:r>
      <w:r w:rsidR="00F62734">
        <w:rPr>
          <w:i/>
          <w:highlight w:val="lightGray"/>
        </w:rPr>
        <w:t>ë</w:t>
      </w:r>
      <w:r w:rsidRPr="00AF4EA0">
        <w:rPr>
          <w:i/>
          <w:highlight w:val="lightGray"/>
        </w:rPr>
        <w:t xml:space="preserve"> sikurse dhe </w:t>
      </w:r>
      <w:r w:rsidRPr="00AF4EA0">
        <w:rPr>
          <w:rFonts w:ascii="Times New Roman" w:hAnsi="Times New Roman"/>
          <w:i/>
          <w:highlight w:val="lightGray"/>
        </w:rPr>
        <w:t>ç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>shtjen e vendbanimit t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 xml:space="preserve"> grave t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 xml:space="preserve"> martuara n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 xml:space="preserve"> n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 xml:space="preserve"> territorin e k</w:t>
      </w:r>
      <w:r w:rsidR="00F62734">
        <w:rPr>
          <w:rFonts w:ascii="Times New Roman" w:hAnsi="Times New Roman"/>
          <w:i/>
          <w:highlight w:val="lightGray"/>
        </w:rPr>
        <w:t>ë</w:t>
      </w:r>
      <w:r w:rsidRPr="00AF4EA0">
        <w:rPr>
          <w:rFonts w:ascii="Times New Roman" w:hAnsi="Times New Roman"/>
          <w:i/>
          <w:highlight w:val="lightGray"/>
        </w:rPr>
        <w:t>tyre komunave;</w:t>
      </w:r>
    </w:p>
    <w:p w:rsidR="00AF4EA0" w:rsidRPr="00681A40" w:rsidRDefault="00AF4EA0" w:rsidP="00AF4EA0">
      <w:pPr>
        <w:pStyle w:val="ListParagraph"/>
        <w:ind w:left="1800"/>
        <w:jc w:val="both"/>
        <w:rPr>
          <w:rFonts w:ascii="Century Schoolbook" w:hAnsi="Century Schoolbook" w:cs="Arabic Typesetting"/>
          <w:b/>
          <w:color w:val="000000"/>
          <w:lang w:val="sq-AL"/>
        </w:rPr>
      </w:pPr>
    </w:p>
    <w:p w:rsidR="00154C1C" w:rsidRPr="00681A40" w:rsidRDefault="000C034A" w:rsidP="00B0754B">
      <w:pPr>
        <w:ind w:firstLine="72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eliminohen pengesat ligjore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rdorim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publik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simboleve komb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</w:t>
      </w:r>
      <w:r w:rsidR="008440E1" w:rsidRPr="00681A40">
        <w:rPr>
          <w:rFonts w:ascii="Century Schoolbook" w:hAnsi="Century Schoolbook" w:cs="Arabic Typesetting"/>
          <w:color w:val="000000"/>
          <w:lang w:val="sq-AL"/>
        </w:rPr>
        <w:t>;</w:t>
      </w:r>
    </w:p>
    <w:p w:rsidR="00B0754B" w:rsidRPr="00681A40" w:rsidRDefault="006B6657" w:rsidP="00B0754B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DECENTRALIZ</w:t>
      </w:r>
      <w:r w:rsidR="000C034A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IMI N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="000C034A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 xml:space="preserve"> GJYQ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="000C034A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SI</w:t>
      </w:r>
    </w:p>
    <w:p w:rsidR="009B5CBD" w:rsidRPr="00681A40" w:rsidRDefault="000C034A" w:rsidP="000C034A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kushtet demokratike procesi i marrjes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vendimeve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soj i 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ashtu si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rmbajtja e vendimeve,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shtu 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pasi 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administrimi i mir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nkupton se po b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het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r po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pullin, ky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proces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 vendimarrjes duhet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rfshij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 ata me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cil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 kan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b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jn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vendimet.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nevoj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parasheh edhe nen</w:t>
      </w:r>
      <w:r w:rsidR="009B5CBD" w:rsidRPr="00681A40">
        <w:rPr>
          <w:rFonts w:ascii="Century Schoolbook" w:hAnsi="Century Schoolbook" w:cs="Arabic Typesetting"/>
          <w:color w:val="000000"/>
          <w:lang w:val="sq-AL"/>
        </w:rPr>
        <w:t>.4 (3</w:t>
      </w:r>
      <w:r w:rsidR="00B42E68" w:rsidRPr="00681A40">
        <w:rPr>
          <w:rFonts w:ascii="Century Schoolbook" w:hAnsi="Century Schoolbook" w:cs="Arabic Typesetting"/>
          <w:color w:val="000000"/>
          <w:lang w:val="sq-AL"/>
        </w:rPr>
        <w:t>)</w:t>
      </w:r>
      <w:r w:rsidR="009B5CBD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Kart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europiane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administrim lokal</w:t>
      </w:r>
      <w:r w:rsidR="007F2E4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15"/>
      </w:r>
      <w:r w:rsidR="00892AFD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900C24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e cila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llim e shpreh</w:t>
      </w:r>
      <w:r w:rsidR="00892AFD" w:rsidRPr="00681A40">
        <w:rPr>
          <w:rFonts w:ascii="Century Schoolbook" w:hAnsi="Century Schoolbook" w:cs="Arabic Typesetting"/>
          <w:color w:val="000000"/>
          <w:lang w:val="sq-AL"/>
        </w:rPr>
        <w:t>:</w:t>
      </w:r>
      <w:r w:rsidR="009B5CBD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9B5CBD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“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P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rgjegj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sin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publike duhet ta ushtroj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ai pushtet q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m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i af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rt me qytetarin</w:t>
      </w:r>
      <w:r w:rsidR="009B5CBD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”.</w:t>
      </w:r>
    </w:p>
    <w:p w:rsidR="009B5CBD" w:rsidRPr="00681A40" w:rsidRDefault="000C034A" w:rsidP="009B5CBD">
      <w:pPr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ab/>
        <w:t>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baz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tyre 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pikëpamjeve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dokumenteve 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rkomb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tare,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faz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reform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gjyq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2009 se shuarja e Gjykatave komunale, prokurorive komunale dhe Gjykatave komunale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kund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rvajtje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to komuna seriozisht rrezikon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drejtat e shqiptar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="009B5CBD" w:rsidRPr="00681A40">
        <w:rPr>
          <w:rFonts w:ascii="Century Schoolbook" w:hAnsi="Century Schoolbook" w:cs="Arabic Typesetting"/>
          <w:color w:val="000000"/>
          <w:lang w:val="sq-AL"/>
        </w:rPr>
        <w:t>:</w:t>
      </w:r>
    </w:p>
    <w:p w:rsidR="009B5CBD" w:rsidRPr="00681A40" w:rsidRDefault="009B5CBD" w:rsidP="00892AFD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lastRenderedPageBreak/>
        <w:t>P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rdorim zyrtar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gjuh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s dhe shkrimit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– 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k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to institucione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Vranj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nuk kan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kapacitete p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r garantimin e k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>saj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4217D7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drejte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;</w:t>
      </w:r>
    </w:p>
    <w:p w:rsidR="009B5CBD" w:rsidRPr="00681A40" w:rsidRDefault="004217D7" w:rsidP="00892AFD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>Participim adekuat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pun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n e tyre</w:t>
      </w:r>
      <w:r w:rsidR="009B5CBD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–</w:t>
      </w:r>
      <w:r w:rsidR="009B5CBD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reforma nuk ka sjell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participim adekuat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shqiptar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ve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institucionet e gjyq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sis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892AFD" w:rsidRPr="00681A40">
        <w:rPr>
          <w:rFonts w:ascii="Century Schoolbook" w:hAnsi="Century Schoolbook" w:cs="Arabic Typesetting"/>
          <w:i/>
          <w:color w:val="000000"/>
          <w:lang w:val="sq-AL"/>
        </w:rPr>
        <w:t>;</w:t>
      </w:r>
    </w:p>
    <w:p w:rsidR="009B5CBD" w:rsidRPr="00681A40" w:rsidRDefault="004217D7" w:rsidP="00892AFD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>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procedur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po krijohen shpenzime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m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365DC1" w:rsidRPr="00681A40">
        <w:rPr>
          <w:rFonts w:ascii="Century Schoolbook" w:hAnsi="Century Schoolbook" w:cs="Arabic Typesetting"/>
          <w:i/>
          <w:color w:val="000000"/>
          <w:lang w:val="sq-AL"/>
        </w:rPr>
        <w:t>d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ha dhe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panevojsh</w:t>
      </w:r>
      <w:r w:rsidR="00365DC1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m </w:t>
      </w:r>
      <w:r w:rsidR="009B5CBD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– 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>pal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>t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procedur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duhet 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b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>jn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udh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>time mbi 50 km deri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selin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e k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lang w:val="sq-AL"/>
        </w:rPr>
        <w:t>tyre institucioneve</w:t>
      </w:r>
      <w:r w:rsidR="00892AFD" w:rsidRPr="00681A40">
        <w:rPr>
          <w:rFonts w:ascii="Century Schoolbook" w:hAnsi="Century Schoolbook" w:cs="Arabic Typesetting"/>
          <w:i/>
          <w:color w:val="000000"/>
          <w:lang w:val="sq-AL"/>
        </w:rPr>
        <w:t>;</w:t>
      </w:r>
    </w:p>
    <w:p w:rsidR="009B5CBD" w:rsidRPr="00681A40" w:rsidRDefault="005B406A" w:rsidP="00892AFD">
      <w:pPr>
        <w:pStyle w:val="ListParagraph"/>
        <w:numPr>
          <w:ilvl w:val="0"/>
          <w:numId w:val="4"/>
        </w:numPr>
        <w:jc w:val="both"/>
        <w:rPr>
          <w:rFonts w:ascii="Century Schoolbook" w:hAnsi="Century Schoolbook" w:cs="Arabic Typesetting"/>
          <w:i/>
          <w:color w:val="000000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lang w:val="sq-AL"/>
        </w:rPr>
        <w:t>Mosbesimi i qytetar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ve n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institucionet gjyq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sore 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rritur edhe m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 xml:space="preserve"> tep</w:t>
      </w:r>
      <w:r w:rsidR="00DB677E" w:rsidRPr="00681A40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lang w:val="sq-AL"/>
        </w:rPr>
        <w:t>r</w:t>
      </w:r>
      <w:r w:rsidR="00892AFD" w:rsidRPr="00681A40">
        <w:rPr>
          <w:rFonts w:ascii="Century Schoolbook" w:hAnsi="Century Schoolbook" w:cs="Arabic Typesetting"/>
          <w:i/>
          <w:color w:val="000000"/>
          <w:lang w:val="sq-AL"/>
        </w:rPr>
        <w:t>;</w:t>
      </w:r>
    </w:p>
    <w:p w:rsidR="00892AFD" w:rsidRPr="00681A40" w:rsidRDefault="00892AFD" w:rsidP="00892AFD">
      <w:pPr>
        <w:pStyle w:val="ListParagraph"/>
        <w:jc w:val="both"/>
        <w:rPr>
          <w:rFonts w:ascii="Century Schoolbook" w:hAnsi="Century Schoolbook" w:cs="Arabic Typesetting"/>
          <w:i/>
          <w:color w:val="000000"/>
          <w:lang w:val="sq-AL"/>
        </w:rPr>
      </w:pPr>
    </w:p>
    <w:p w:rsidR="00B71502" w:rsidRPr="00681A40" w:rsidRDefault="005B406A" w:rsidP="00892AFD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Bazuar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duhet 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rmarr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masa q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komun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Bujanocit dhe Preshev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</w:t>
      </w:r>
      <w:r w:rsidR="00B71502" w:rsidRPr="00681A40">
        <w:rPr>
          <w:rFonts w:ascii="Century Schoolbook" w:hAnsi="Century Schoolbook" w:cs="Arabic Typesetting"/>
          <w:color w:val="000000"/>
          <w:lang w:val="sq-AL"/>
        </w:rPr>
        <w:t>:</w:t>
      </w:r>
    </w:p>
    <w:p w:rsidR="00B71502" w:rsidRPr="00681A40" w:rsidRDefault="00B71502" w:rsidP="00B71502">
      <w:pPr>
        <w:spacing w:after="0"/>
        <w:ind w:firstLine="36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- </w:t>
      </w:r>
      <w:r w:rsidR="005B406A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rikthehen Gjykatat themelore dhe Prokurorit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themelore</w:t>
      </w:r>
      <w:r w:rsidR="00892AFD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, </w:t>
      </w:r>
    </w:p>
    <w:p w:rsidR="00892AFD" w:rsidRPr="00681A40" w:rsidRDefault="00B71502" w:rsidP="00B71502">
      <w:pPr>
        <w:spacing w:after="0"/>
        <w:ind w:firstLine="360"/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- 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rikthehet Gjykata komunale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kund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rvajtje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(</w:t>
      </w:r>
      <w:r w:rsidR="00365DC1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Ma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rr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veshja 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 menaxhimin e integruar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kufijve me Kosov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ndikon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rritjen e numrit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l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ve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="005B406A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Bujanoc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)</w:t>
      </w:r>
      <w:r w:rsidR="00892AFD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. </w:t>
      </w:r>
    </w:p>
    <w:p w:rsidR="00B71502" w:rsidRPr="00681A40" w:rsidRDefault="00B71502" w:rsidP="00B71502">
      <w:pPr>
        <w:spacing w:after="0"/>
        <w:ind w:firstLine="360"/>
        <w:jc w:val="both"/>
        <w:rPr>
          <w:rFonts w:ascii="Century Schoolbook" w:hAnsi="Century Schoolbook" w:cs="Arabic Typesetting"/>
          <w:i/>
          <w:color w:val="000000"/>
          <w:lang w:val="sq-AL"/>
        </w:rPr>
      </w:pPr>
    </w:p>
    <w:p w:rsidR="005B406A" w:rsidRPr="00681A40" w:rsidRDefault="005B406A" w:rsidP="006C48AC">
      <w:pPr>
        <w:ind w:firstLine="360"/>
        <w:jc w:val="both"/>
        <w:rPr>
          <w:rFonts w:ascii="Century Schoolbook" w:hAnsi="Century Schoolbook" w:cs="Arabic Typesetting"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P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 decentralizim 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frym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n e standardeve europiane dhe realizimit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parimit q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</w:t>
      </w:r>
      <w:r w:rsidR="006C48AC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“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p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rgjegj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sin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publike ta ushtrojn</w:t>
      </w:r>
      <w:r w:rsidR="005154CB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ato autoritete q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jan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m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af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 qytetarit”, me q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llim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krijimit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vet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administrimi</w:t>
      </w:r>
      <w:r w:rsidR="00365DC1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t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r ç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shtjet specifike duhet hartuar nj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do</w:t>
      </w:r>
      <w:r w:rsidR="00365DC1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k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ument m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</w:t>
      </w:r>
      <w:r w:rsidR="00365DC1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gjithëpërfshirës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decentralizimit, me respektimin e parimit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reciprocitetit me 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drejtat e serb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ve 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Kosov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.</w:t>
      </w:r>
    </w:p>
    <w:p w:rsidR="007D14E1" w:rsidRPr="00681A40" w:rsidRDefault="007D14E1" w:rsidP="00B71502">
      <w:pPr>
        <w:spacing w:after="0"/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0214C7" w:rsidRPr="00681A40" w:rsidRDefault="005B406A" w:rsidP="000214C7">
      <w:pPr>
        <w:pStyle w:val="ListParagraph"/>
        <w:numPr>
          <w:ilvl w:val="0"/>
          <w:numId w:val="3"/>
        </w:numPr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ARSIMI, KULTURA DHE MEDIAT</w:t>
      </w:r>
    </w:p>
    <w:p w:rsidR="005B406A" w:rsidRPr="00681A40" w:rsidRDefault="005B406A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 xml:space="preserve">Arsimi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sfera me 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shum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problem. Mosnjohja e diplomave dhe probelmet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procesin e nostrifikimit , mungesa e teksteve shkollore kualitative nevoja e hapjes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institucioneve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arsimit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lart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jan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vet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disa nga ç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shtjet e 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sishme.</w:t>
      </w:r>
    </w:p>
    <w:p w:rsidR="000214C7" w:rsidRPr="00681A40" w:rsidRDefault="000214C7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5B406A" w:rsidRPr="00681A40" w:rsidRDefault="005B406A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shilli Nacional</w:t>
      </w:r>
      <w:r w:rsidR="007128AB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16"/>
      </w:r>
      <w:r w:rsidR="000214C7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paraqet institucionin i cili sipas Ligjit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shillat nacionale</w:t>
      </w:r>
      <w:r w:rsidR="00F2179E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17"/>
      </w:r>
      <w:r w:rsidR="0091125D" w:rsidRPr="00681A40">
        <w:rPr>
          <w:rFonts w:ascii="Century Schoolbook" w:hAnsi="Century Schoolbook" w:cs="Arabic Typesetting"/>
          <w:color w:val="000000"/>
          <w:lang w:val="sq-AL"/>
        </w:rPr>
        <w:t xml:space="preserve">, </w:t>
      </w:r>
      <w:r w:rsidR="009507EB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ka autorizime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sfer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rdorimit zyrtar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gjuh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 dhe simboleve, arsimit, kultur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 dhe informimit.</w:t>
      </w:r>
    </w:p>
    <w:p w:rsidR="005B406A" w:rsidRPr="00681A40" w:rsidRDefault="005B406A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Duhet njohur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drejtat e KN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to sfera dhe zhvilluar bashk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punimin e tij me ministrit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rkat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se. KN duhet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rolin kyç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sjelljen e teksteve nga Kosova, Shqip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ria,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rmes autor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ve lo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k</w:t>
      </w:r>
      <w:r w:rsidRPr="00681A40">
        <w:rPr>
          <w:rFonts w:ascii="Century Schoolbook" w:hAnsi="Century Schoolbook" w:cs="Arabic Typesetting"/>
          <w:color w:val="000000"/>
          <w:lang w:val="sq-AL"/>
        </w:rPr>
        <w:t>al apo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rkthimeve.</w:t>
      </w:r>
    </w:p>
    <w:p w:rsidR="005E45BF" w:rsidRPr="00681A40" w:rsidRDefault="00AE3D8A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Si masa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rmir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simin e gjendjes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sfer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propozojm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:</w:t>
      </w:r>
    </w:p>
    <w:p w:rsidR="005E45BF" w:rsidRPr="00681A40" w:rsidRDefault="00AE3D8A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Njohjen e diplomave nga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gjitha institucionet arsimore nga Kosova, eliminimin e problemeve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nostrifikimin e atyre nga Shqip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ria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AE3D8A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Hapja e institucioneve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reja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arsimit 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lart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Preshev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dhe Bujanoc n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gjuh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</w:t>
      </w:r>
      <w:r w:rsidR="005154CB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shqipe</w:t>
      </w:r>
      <w:r w:rsidR="004A4957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5E45BF" w:rsidRPr="00681A40" w:rsidRDefault="00AE3D8A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zgjidhet problem me munges</w:t>
      </w:r>
      <w:r w:rsidR="00DB677E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e teksteve shkollore</w:t>
      </w:r>
      <w:r w:rsidR="00DE3753" w:rsidRPr="00681A40">
        <w:rPr>
          <w:rStyle w:val="FootnoteReference"/>
          <w:rFonts w:ascii="Century Schoolbook" w:hAnsi="Century Schoolbook" w:cs="Arabic Typesetting"/>
          <w:i/>
          <w:color w:val="000000"/>
          <w:lang w:val="sq-AL"/>
        </w:rPr>
        <w:footnoteReference w:id="18"/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,</w:t>
      </w:r>
    </w:p>
    <w:p w:rsidR="00094ED6" w:rsidRDefault="00365DC1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lastRenderedPageBreak/>
        <w:t>Të zgjidhet çështja me provimet profesionale</w:t>
      </w:r>
      <w:r w:rsidR="005E45BF" w:rsidRPr="00681A40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;</w:t>
      </w:r>
    </w:p>
    <w:p w:rsidR="00AF4EA0" w:rsidRDefault="00AF4EA0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Ç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shtja e informimit t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zgjidhet p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rmes fitimit t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minutazhit t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nevojshëm n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gjuh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shqipe n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mediat publike shtetërore dhe</w:t>
      </w:r>
    </w:p>
    <w:p w:rsidR="00AF4EA0" w:rsidRPr="00681A40" w:rsidRDefault="00AF4EA0" w:rsidP="005E45BF">
      <w:pPr>
        <w:pStyle w:val="ListParagraph"/>
        <w:numPr>
          <w:ilvl w:val="1"/>
          <w:numId w:val="10"/>
        </w:numPr>
        <w:jc w:val="both"/>
        <w:rPr>
          <w:rFonts w:ascii="Century Schoolbook" w:hAnsi="Century Schoolbook" w:cs="Arabic Typesetting"/>
          <w:i/>
          <w:color w:val="000000"/>
          <w:highlight w:val="lightGray"/>
          <w:lang w:val="sq-AL"/>
        </w:rPr>
      </w:pP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Themelimin e nj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mediumi elektronik rajonal n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 xml:space="preserve"> gjuh</w:t>
      </w:r>
      <w:r w:rsidR="00F62734"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ë</w:t>
      </w:r>
      <w:r>
        <w:rPr>
          <w:rFonts w:ascii="Century Schoolbook" w:hAnsi="Century Schoolbook" w:cs="Arabic Typesetting"/>
          <w:i/>
          <w:color w:val="000000"/>
          <w:highlight w:val="lightGray"/>
          <w:lang w:val="sq-AL"/>
        </w:rPr>
        <w:t>n shqipe;</w:t>
      </w:r>
    </w:p>
    <w:p w:rsidR="00AE3D8A" w:rsidRDefault="00AE3D8A" w:rsidP="008E508C">
      <w:pPr>
        <w:ind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S</w:t>
      </w:r>
      <w:r w:rsidR="00365DC1" w:rsidRPr="00681A40">
        <w:rPr>
          <w:rFonts w:ascii="Century Schoolbook" w:hAnsi="Century Schoolbook" w:cs="Arabic Typesetting"/>
          <w:color w:val="000000"/>
          <w:lang w:val="sq-AL"/>
        </w:rPr>
        <w:t>hte</w:t>
      </w:r>
      <w:r w:rsidRPr="00681A40">
        <w:rPr>
          <w:rFonts w:ascii="Century Schoolbook" w:hAnsi="Century Schoolbook" w:cs="Arabic Typesetting"/>
          <w:color w:val="000000"/>
          <w:lang w:val="sq-AL"/>
        </w:rPr>
        <w:t>ti duhet, jo vet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m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njoh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, por edhe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pranoj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rolin e KN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sferat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cilat ai ka kompetencat ligjore.</w:t>
      </w:r>
    </w:p>
    <w:p w:rsidR="00FA71BE" w:rsidRPr="00681A40" w:rsidRDefault="00FA71BE" w:rsidP="009634D8">
      <w:pPr>
        <w:spacing w:after="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76166D" w:rsidRPr="00681A40" w:rsidRDefault="00AE3D8A" w:rsidP="0076166D">
      <w:pPr>
        <w:pStyle w:val="ListParagraph"/>
        <w:numPr>
          <w:ilvl w:val="0"/>
          <w:numId w:val="3"/>
        </w:numPr>
        <w:spacing w:after="0"/>
        <w:jc w:val="both"/>
        <w:rPr>
          <w:rFonts w:ascii="Arial Black" w:hAnsi="Arial Black" w:cs="Arabic Typesetting"/>
          <w:b/>
          <w:color w:val="000000"/>
          <w:u w:val="single"/>
          <w:lang w:val="sq-AL"/>
        </w:rPr>
      </w:pP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MBROJTJA SOCIALE DHE SH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NDET</w:t>
      </w:r>
      <w:r w:rsidR="00DB677E" w:rsidRPr="00681A40">
        <w:rPr>
          <w:rFonts w:ascii="Arial Black" w:hAnsi="Arial Black" w:cs="Arabic Typesetting"/>
          <w:b/>
          <w:color w:val="000000"/>
          <w:u w:val="single"/>
          <w:lang w:val="sq-AL"/>
        </w:rPr>
        <w:t>Ë</w:t>
      </w:r>
      <w:r w:rsidRPr="00681A40">
        <w:rPr>
          <w:rFonts w:ascii="Arial Black" w:hAnsi="Arial Black" w:cs="Arabic Typesetting"/>
          <w:b/>
          <w:color w:val="000000"/>
          <w:u w:val="single"/>
          <w:lang w:val="sq-AL"/>
        </w:rPr>
        <w:t xml:space="preserve">SORE </w:t>
      </w:r>
    </w:p>
    <w:p w:rsidR="005C6947" w:rsidRPr="00681A40" w:rsidRDefault="005C6947" w:rsidP="005C6947">
      <w:pPr>
        <w:pStyle w:val="ListParagraph"/>
        <w:spacing w:after="0"/>
        <w:ind w:left="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F62734" w:rsidRDefault="00AE3D8A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Sh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sia primare e cila 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kompetenc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 e komunave po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rballet me v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shtir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shkak 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munges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pajisjeve mjek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sore. 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>Kjo ç</w:t>
      </w:r>
      <w:r w:rsidR="00F62734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>shtje duhet t</w:t>
      </w:r>
      <w:r w:rsidR="00F62734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 xml:space="preserve"> tejkalohet me blerjen e pajisjeve moderne p</w:t>
      </w:r>
      <w:r w:rsidR="00F62734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>r diagnostifikimin e hersh</w:t>
      </w:r>
      <w:r w:rsidR="00F62734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>m t</w:t>
      </w:r>
      <w:r w:rsidR="00F62734">
        <w:rPr>
          <w:rFonts w:ascii="Century Schoolbook" w:hAnsi="Century Schoolbook" w:cs="Arabic Typesetting"/>
          <w:i/>
          <w:color w:val="000000"/>
          <w:lang w:val="sq-AL"/>
        </w:rPr>
        <w:t>ë</w:t>
      </w:r>
      <w:r w:rsidR="00F62734" w:rsidRPr="00F62734">
        <w:rPr>
          <w:rFonts w:ascii="Century Schoolbook" w:hAnsi="Century Schoolbook" w:cs="Arabic Typesetting"/>
          <w:i/>
          <w:color w:val="000000"/>
          <w:lang w:val="sq-AL"/>
        </w:rPr>
        <w:t xml:space="preserve"> sëmundjeve.</w:t>
      </w:r>
    </w:p>
    <w:p w:rsidR="00AE3D8A" w:rsidRPr="00681A40" w:rsidRDefault="00AE3D8A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sht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pit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e sh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ndetit nuk ekzistojn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 stacionaret p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r s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 xml:space="preserve">mundjet </w:t>
      </w:r>
      <w:r w:rsidR="00F62734">
        <w:rPr>
          <w:rFonts w:ascii="Century Schoolbook" w:hAnsi="Century Schoolbook" w:cs="Arabic Typesetting"/>
          <w:color w:val="000000"/>
          <w:lang w:val="sq-AL"/>
        </w:rPr>
        <w:t>akute dhe kronike</w:t>
      </w:r>
      <w:r w:rsidRPr="00681A40">
        <w:rPr>
          <w:rFonts w:ascii="Century Schoolbook" w:hAnsi="Century Schoolbook" w:cs="Arabic Typesetting"/>
          <w:color w:val="000000"/>
          <w:lang w:val="sq-AL"/>
        </w:rPr>
        <w:t>.</w:t>
      </w:r>
    </w:p>
    <w:p w:rsidR="005C6947" w:rsidRPr="00681A40" w:rsidRDefault="00AE3D8A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Barnatorja 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Preshev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edhe m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tej 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pjes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e barnatores s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Vranj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</w:t>
      </w:r>
      <w:r w:rsidR="00196969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19"/>
      </w:r>
      <w:r w:rsidR="00196969" w:rsidRPr="009053BF">
        <w:rPr>
          <w:rFonts w:ascii="Century Schoolbook" w:hAnsi="Century Schoolbook" w:cs="Arabic Typesetting"/>
          <w:color w:val="000000"/>
          <w:lang w:val="sq-AL"/>
        </w:rPr>
        <w:t xml:space="preserve">. </w:t>
      </w:r>
      <w:r w:rsidR="005C6947" w:rsidRPr="009053BF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Sh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ndet</w:t>
      </w:r>
      <w:r w:rsidR="00DB677E" w:rsidRPr="00681A40">
        <w:rPr>
          <w:rFonts w:ascii="Century Schoolbook" w:hAnsi="Century Schoolbook" w:cs="Arabic Typesetting"/>
          <w:color w:val="000000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lang w:val="sq-AL"/>
        </w:rPr>
        <w:t>sia sekondare nuk ekziston.</w:t>
      </w:r>
      <w:r w:rsidR="005C6947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="00F62734">
        <w:rPr>
          <w:rFonts w:ascii="Century Schoolbook" w:hAnsi="Century Schoolbook" w:cs="Arabic Typesetting"/>
          <w:color w:val="000000"/>
          <w:highlight w:val="lightGray"/>
          <w:lang w:val="sq-AL"/>
        </w:rPr>
        <w:t>Materniteti më se i nevojshëm jashtëspitalor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ende nuk 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sht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hapur n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 Preshev</w:t>
      </w:r>
      <w:r w:rsidR="00DB677E"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ë</w:t>
      </w:r>
      <w:r w:rsidR="00196969" w:rsidRPr="00681A40">
        <w:rPr>
          <w:rStyle w:val="FootnoteReference"/>
          <w:rFonts w:ascii="Century Schoolbook" w:hAnsi="Century Schoolbook" w:cs="Arabic Typesetting"/>
          <w:color w:val="000000"/>
          <w:lang w:val="sq-AL"/>
        </w:rPr>
        <w:footnoteReference w:id="20"/>
      </w:r>
      <w:r w:rsidR="005C6947" w:rsidRPr="009053BF">
        <w:rPr>
          <w:rFonts w:ascii="Century Schoolbook" w:hAnsi="Century Schoolbook" w:cs="Arabic Typesetting"/>
          <w:color w:val="000000"/>
          <w:lang w:val="sq-AL"/>
        </w:rPr>
        <w:t>.</w:t>
      </w:r>
    </w:p>
    <w:p w:rsidR="00196969" w:rsidRPr="00681A40" w:rsidRDefault="00DB677E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lang w:val="sq-AL"/>
        </w:rPr>
        <w:t>Është i domosdoshëm themelimi i institucionit për shëndetësi sekondare (spitalit) për këto komuna</w:t>
      </w:r>
      <w:r w:rsidR="00196969" w:rsidRPr="00681A40">
        <w:rPr>
          <w:rFonts w:ascii="Century Schoolbook" w:hAnsi="Century Schoolbook" w:cs="Arabic Typesetting"/>
          <w:color w:val="000000"/>
          <w:lang w:val="sq-AL"/>
        </w:rPr>
        <w:t>;</w:t>
      </w:r>
    </w:p>
    <w:p w:rsidR="00DB677E" w:rsidRDefault="00DB677E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 xml:space="preserve">Nuk ekziston </w:t>
      </w:r>
      <w:r w:rsidR="00F62734">
        <w:rPr>
          <w:rFonts w:ascii="Century Schoolbook" w:hAnsi="Century Schoolbook" w:cs="Arabic Typesetting"/>
          <w:color w:val="000000"/>
          <w:highlight w:val="lightGray"/>
          <w:lang w:val="sq-AL"/>
        </w:rPr>
        <w:t>kurrë</w:t>
      </w:r>
      <w:r w:rsidRPr="00681A40">
        <w:rPr>
          <w:rFonts w:ascii="Century Schoolbook" w:hAnsi="Century Schoolbook" w:cs="Arabic Typesetting"/>
          <w:color w:val="000000"/>
          <w:highlight w:val="lightGray"/>
          <w:lang w:val="sq-AL"/>
        </w:rPr>
        <w:t>farë institucioni që merret me trajtimin e personave me aftësi të kufizuar.</w:t>
      </w:r>
      <w:r w:rsidR="00925179" w:rsidRPr="00681A40">
        <w:rPr>
          <w:rFonts w:ascii="Century Schoolbook" w:hAnsi="Century Schoolbook" w:cs="Arabic Typesetting"/>
          <w:color w:val="000000"/>
          <w:lang w:val="sq-AL"/>
        </w:rPr>
        <w:t xml:space="preserve"> </w:t>
      </w:r>
      <w:r w:rsidRPr="00681A40">
        <w:rPr>
          <w:rFonts w:ascii="Century Schoolbook" w:hAnsi="Century Schoolbook" w:cs="Arabic Typesetting"/>
          <w:color w:val="000000"/>
          <w:lang w:val="sq-AL"/>
        </w:rPr>
        <w:t>Banorët e këtyre komunave janë në pamundësi të shfrytëzojnë mjetet e Ministrisë për çështje sociale.</w:t>
      </w:r>
    </w:p>
    <w:p w:rsidR="00AF4EA0" w:rsidRPr="00681A40" w:rsidRDefault="00AF4EA0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  <w:r>
        <w:rPr>
          <w:rFonts w:ascii="Century Schoolbook" w:hAnsi="Century Schoolbook" w:cs="Arabic Typesetting"/>
          <w:color w:val="000000"/>
          <w:lang w:val="sq-AL"/>
        </w:rPr>
        <w:t>Duhet nd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>rmarr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 xml:space="preserve"> masa p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>r zgjidhjen e problemit t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 xml:space="preserve"> mosnjohjes s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 xml:space="preserve"> stazhit t</w:t>
      </w:r>
      <w:r w:rsidR="00F62734">
        <w:rPr>
          <w:rFonts w:ascii="Century Schoolbook" w:hAnsi="Century Schoolbook" w:cs="Arabic Typesetting"/>
          <w:color w:val="000000"/>
          <w:lang w:val="sq-AL"/>
        </w:rPr>
        <w:t>ë</w:t>
      </w:r>
      <w:r>
        <w:rPr>
          <w:rFonts w:ascii="Century Schoolbook" w:hAnsi="Century Schoolbook" w:cs="Arabic Typesetting"/>
          <w:color w:val="000000"/>
          <w:lang w:val="sq-AL"/>
        </w:rPr>
        <w:t xml:space="preserve"> punës nga Kosova.</w:t>
      </w:r>
    </w:p>
    <w:p w:rsidR="005C6947" w:rsidRPr="00681A40" w:rsidRDefault="005C6947" w:rsidP="005C6947">
      <w:pPr>
        <w:pStyle w:val="ListParagraph"/>
        <w:spacing w:after="0"/>
        <w:ind w:left="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5C6947" w:rsidRPr="00681A40" w:rsidRDefault="005C6947" w:rsidP="005C6947">
      <w:pPr>
        <w:spacing w:after="0"/>
        <w:ind w:left="360"/>
        <w:jc w:val="both"/>
        <w:rPr>
          <w:rFonts w:ascii="Century Schoolbook" w:hAnsi="Century Schoolbook" w:cs="Arabic Typesetting"/>
          <w:b/>
          <w:color w:val="000000"/>
          <w:u w:val="single"/>
          <w:lang w:val="sq-AL"/>
        </w:rPr>
      </w:pPr>
    </w:p>
    <w:p w:rsidR="00BD0975" w:rsidRDefault="0062607B" w:rsidP="0062607B">
      <w:pPr>
        <w:spacing w:after="0"/>
        <w:ind w:firstLine="36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62607B">
        <w:rPr>
          <w:rFonts w:ascii="Century Schoolbook" w:hAnsi="Century Schoolbook" w:cs="Arabic Typesetting"/>
          <w:b/>
          <w:color w:val="000000"/>
          <w:lang w:val="sq-AL"/>
        </w:rPr>
        <w:t>DISPOZITA P</w:t>
      </w:r>
      <w:r w:rsidR="009053BF">
        <w:rPr>
          <w:rFonts w:ascii="Century Schoolbook" w:hAnsi="Century Schoolbook" w:cs="Arabic Typesetting"/>
          <w:b/>
          <w:color w:val="000000"/>
          <w:lang w:val="sq-AL"/>
        </w:rPr>
        <w:t>Ë</w:t>
      </w:r>
      <w:r w:rsidRPr="0062607B">
        <w:rPr>
          <w:rFonts w:ascii="Century Schoolbook" w:hAnsi="Century Schoolbook" w:cs="Arabic Typesetting"/>
          <w:b/>
          <w:color w:val="000000"/>
          <w:lang w:val="sq-AL"/>
        </w:rPr>
        <w:t>RFUNDIMTARE:</w:t>
      </w:r>
    </w:p>
    <w:p w:rsidR="0062607B" w:rsidRDefault="0062607B" w:rsidP="0062607B">
      <w:pPr>
        <w:spacing w:after="0"/>
        <w:ind w:firstLine="360"/>
        <w:jc w:val="both"/>
        <w:rPr>
          <w:rFonts w:ascii="Century Schoolbook" w:hAnsi="Century Schoolbook" w:cs="Arabic Typesetting"/>
          <w:b/>
          <w:color w:val="000000"/>
          <w:lang w:val="sq-AL"/>
        </w:rPr>
      </w:pPr>
    </w:p>
    <w:p w:rsidR="009053BF" w:rsidRPr="009053BF" w:rsidRDefault="0062607B" w:rsidP="009053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053BF">
        <w:rPr>
          <w:rFonts w:ascii="Bookman Old Style" w:hAnsi="Bookman Old Style"/>
          <w:sz w:val="20"/>
          <w:szCs w:val="20"/>
        </w:rPr>
        <w:t xml:space="preserve">Duke  rikonfirmuar  vullnetin e shprehur në Referendumin e vitit 1992, </w:t>
      </w:r>
    </w:p>
    <w:p w:rsidR="009053BF" w:rsidRPr="009053BF" w:rsidRDefault="009053BF" w:rsidP="009053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053BF">
        <w:rPr>
          <w:rFonts w:ascii="Bookman Old Style" w:hAnsi="Bookman Old Style"/>
          <w:sz w:val="20"/>
          <w:szCs w:val="20"/>
        </w:rPr>
        <w:t>N</w:t>
      </w:r>
      <w:r>
        <w:rPr>
          <w:rFonts w:ascii="Bookman Old Style" w:hAnsi="Bookman Old Style"/>
          <w:sz w:val="20"/>
          <w:szCs w:val="20"/>
        </w:rPr>
        <w:t>ë për</w:t>
      </w:r>
      <w:r w:rsidRPr="009053BF">
        <w:rPr>
          <w:rFonts w:ascii="Bookman Old Style" w:hAnsi="Bookman Old Style"/>
          <w:sz w:val="20"/>
          <w:szCs w:val="20"/>
        </w:rPr>
        <w:t>krahje t</w:t>
      </w:r>
      <w:r>
        <w:rPr>
          <w:rFonts w:ascii="Bookman Old Style" w:hAnsi="Bookman Old Style"/>
          <w:sz w:val="20"/>
          <w:szCs w:val="20"/>
        </w:rPr>
        <w:t>ë</w:t>
      </w:r>
      <w:r w:rsidRPr="009053BF">
        <w:rPr>
          <w:rFonts w:ascii="Bookman Old Style" w:hAnsi="Bookman Old Style"/>
          <w:sz w:val="20"/>
          <w:szCs w:val="20"/>
        </w:rPr>
        <w:t xml:space="preserve"> “Marr</w:t>
      </w:r>
      <w:r>
        <w:rPr>
          <w:rFonts w:ascii="Bookman Old Style" w:hAnsi="Bookman Old Style"/>
          <w:sz w:val="20"/>
          <w:szCs w:val="20"/>
        </w:rPr>
        <w:t>ë</w:t>
      </w:r>
      <w:r w:rsidRPr="009053BF">
        <w:rPr>
          <w:rFonts w:ascii="Bookman Old Style" w:hAnsi="Bookman Old Style"/>
          <w:sz w:val="20"/>
          <w:szCs w:val="20"/>
        </w:rPr>
        <w:t>veshjes s</w:t>
      </w:r>
      <w:r>
        <w:rPr>
          <w:rFonts w:ascii="Bookman Old Style" w:hAnsi="Bookman Old Style"/>
          <w:sz w:val="20"/>
          <w:szCs w:val="20"/>
        </w:rPr>
        <w:t>ë</w:t>
      </w:r>
      <w:r w:rsidRPr="009053BF">
        <w:rPr>
          <w:rFonts w:ascii="Bookman Old Style" w:hAnsi="Bookman Old Style"/>
          <w:sz w:val="20"/>
          <w:szCs w:val="20"/>
        </w:rPr>
        <w:t xml:space="preserve"> Konçulit”,</w:t>
      </w:r>
    </w:p>
    <w:p w:rsidR="009053BF" w:rsidRPr="009053BF" w:rsidRDefault="009053BF" w:rsidP="009053B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053BF">
        <w:rPr>
          <w:rFonts w:ascii="Bookman Old Style" w:hAnsi="Bookman Old Style"/>
          <w:sz w:val="20"/>
          <w:szCs w:val="20"/>
        </w:rPr>
        <w:t>B</w:t>
      </w:r>
      <w:r w:rsidR="0062607B" w:rsidRPr="009053BF">
        <w:rPr>
          <w:rFonts w:ascii="Bookman Old Style" w:hAnsi="Bookman Old Style"/>
          <w:sz w:val="20"/>
          <w:szCs w:val="20"/>
        </w:rPr>
        <w:t>azuar n</w:t>
      </w:r>
      <w:r>
        <w:rPr>
          <w:rFonts w:ascii="Bookman Old Style" w:hAnsi="Bookman Old Style"/>
          <w:sz w:val="20"/>
          <w:szCs w:val="20"/>
        </w:rPr>
        <w:t>ë</w:t>
      </w:r>
      <w:r w:rsidR="0062607B" w:rsidRPr="009053BF">
        <w:rPr>
          <w:rFonts w:ascii="Bookman Old Style" w:hAnsi="Bookman Old Style"/>
          <w:sz w:val="20"/>
          <w:szCs w:val="20"/>
        </w:rPr>
        <w:t xml:space="preserve"> Platform</w:t>
      </w:r>
      <w:r>
        <w:rPr>
          <w:rFonts w:ascii="Bookman Old Style" w:hAnsi="Bookman Old Style"/>
          <w:sz w:val="20"/>
          <w:szCs w:val="20"/>
        </w:rPr>
        <w:t>ë</w:t>
      </w:r>
      <w:r w:rsidR="0062607B" w:rsidRPr="009053BF">
        <w:rPr>
          <w:rFonts w:ascii="Bookman Old Style" w:hAnsi="Bookman Old Style"/>
          <w:sz w:val="20"/>
          <w:szCs w:val="20"/>
        </w:rPr>
        <w:t>n politike t</w:t>
      </w:r>
      <w:r>
        <w:rPr>
          <w:rFonts w:ascii="Bookman Old Style" w:hAnsi="Bookman Old Style"/>
          <w:sz w:val="20"/>
          <w:szCs w:val="20"/>
        </w:rPr>
        <w:t>ë</w:t>
      </w:r>
      <w:r w:rsidR="0062607B" w:rsidRPr="009053BF">
        <w:rPr>
          <w:rFonts w:ascii="Bookman Old Style" w:hAnsi="Bookman Old Style"/>
          <w:sz w:val="20"/>
          <w:szCs w:val="20"/>
        </w:rPr>
        <w:t xml:space="preserve"> vitit 2006, </w:t>
      </w:r>
    </w:p>
    <w:p w:rsidR="009053BF" w:rsidRDefault="009053BF" w:rsidP="0062607B">
      <w:pPr>
        <w:spacing w:after="0" w:line="240" w:lineRule="auto"/>
        <w:ind w:left="453" w:firstLine="267"/>
        <w:jc w:val="both"/>
        <w:rPr>
          <w:rFonts w:ascii="Bookman Old Style" w:hAnsi="Bookman Old Style"/>
          <w:sz w:val="20"/>
          <w:szCs w:val="20"/>
        </w:rPr>
      </w:pPr>
    </w:p>
    <w:p w:rsidR="0062607B" w:rsidRPr="00132901" w:rsidRDefault="009053BF" w:rsidP="009053BF">
      <w:pPr>
        <w:spacing w:after="0" w:line="240" w:lineRule="auto"/>
        <w:ind w:left="453" w:firstLine="267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62607B" w:rsidRPr="0062607B">
        <w:rPr>
          <w:rFonts w:ascii="Bookman Old Style" w:hAnsi="Bookman Old Style"/>
          <w:sz w:val="20"/>
          <w:szCs w:val="20"/>
        </w:rPr>
        <w:t>Kuvendi</w:t>
      </w:r>
      <w:r>
        <w:rPr>
          <w:rFonts w:ascii="Bookman Old Style" w:hAnsi="Bookman Old Style"/>
          <w:sz w:val="20"/>
          <w:szCs w:val="20"/>
        </w:rPr>
        <w:t>, në afatin më të shpejtë,</w:t>
      </w:r>
      <w:r w:rsidR="0062607B" w:rsidRPr="0062607B">
        <w:rPr>
          <w:rFonts w:ascii="Bookman Old Style" w:hAnsi="Bookman Old Style"/>
          <w:sz w:val="20"/>
          <w:szCs w:val="20"/>
        </w:rPr>
        <w:t xml:space="preserve"> do t</w:t>
      </w:r>
      <w:r>
        <w:rPr>
          <w:rFonts w:ascii="Bookman Old Style" w:hAnsi="Bookman Old Style"/>
          <w:sz w:val="20"/>
          <w:szCs w:val="20"/>
        </w:rPr>
        <w:t>ë</w:t>
      </w:r>
      <w:r w:rsidR="0062607B" w:rsidRPr="0062607B">
        <w:rPr>
          <w:rFonts w:ascii="Bookman Old Style" w:hAnsi="Bookman Old Style"/>
          <w:sz w:val="20"/>
          <w:szCs w:val="20"/>
        </w:rPr>
        <w:t xml:space="preserve"> aprovoj</w:t>
      </w:r>
      <w:r>
        <w:rPr>
          <w:rFonts w:ascii="Bookman Old Style" w:hAnsi="Bookman Old Style"/>
          <w:sz w:val="20"/>
          <w:szCs w:val="20"/>
        </w:rPr>
        <w:t>ë</w:t>
      </w:r>
      <w:r w:rsidR="0062607B" w:rsidRPr="0062607B">
        <w:rPr>
          <w:rFonts w:ascii="Bookman Old Style" w:hAnsi="Bookman Old Style"/>
          <w:sz w:val="20"/>
          <w:szCs w:val="20"/>
        </w:rPr>
        <w:t xml:space="preserve"> </w:t>
      </w:r>
      <w:r w:rsidR="0062607B" w:rsidRPr="00132901">
        <w:rPr>
          <w:rFonts w:ascii="Bookman Old Style" w:hAnsi="Bookman Old Style"/>
          <w:b/>
          <w:sz w:val="20"/>
          <w:szCs w:val="20"/>
        </w:rPr>
        <w:t>Programin e veçant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 xml:space="preserve"> p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>r zgjidhjen e statusit politik t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 xml:space="preserve"> Lugin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>s s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 xml:space="preserve"> Preshev</w:t>
      </w:r>
      <w:r w:rsidRPr="00132901">
        <w:rPr>
          <w:rFonts w:ascii="Bookman Old Style" w:hAnsi="Bookman Old Style"/>
          <w:b/>
          <w:sz w:val="20"/>
          <w:szCs w:val="20"/>
        </w:rPr>
        <w:t>ë</w:t>
      </w:r>
      <w:r w:rsidR="0062607B" w:rsidRPr="00132901">
        <w:rPr>
          <w:rFonts w:ascii="Bookman Old Style" w:hAnsi="Bookman Old Style"/>
          <w:b/>
          <w:sz w:val="20"/>
          <w:szCs w:val="20"/>
        </w:rPr>
        <w:t>s.</w:t>
      </w:r>
    </w:p>
    <w:p w:rsidR="009053BF" w:rsidRPr="0062607B" w:rsidRDefault="009053BF" w:rsidP="009053BF">
      <w:pPr>
        <w:spacing w:after="0" w:line="240" w:lineRule="auto"/>
        <w:ind w:left="453" w:firstLine="267"/>
        <w:jc w:val="both"/>
        <w:rPr>
          <w:rFonts w:ascii="Bookman Old Style" w:hAnsi="Bookman Old Style"/>
          <w:sz w:val="20"/>
          <w:szCs w:val="20"/>
        </w:rPr>
      </w:pPr>
    </w:p>
    <w:p w:rsidR="0062607B" w:rsidRDefault="0062607B" w:rsidP="0062607B">
      <w:pPr>
        <w:spacing w:after="0"/>
        <w:ind w:firstLine="360"/>
        <w:jc w:val="both"/>
        <w:rPr>
          <w:rFonts w:ascii="Century Schoolbook" w:hAnsi="Century Schoolbook" w:cs="Arabic Typesetting"/>
          <w:lang w:val="sq-AL"/>
        </w:rPr>
      </w:pPr>
      <w:r w:rsidRPr="0062607B">
        <w:rPr>
          <w:rFonts w:ascii="Century Schoolbook" w:hAnsi="Century Schoolbook" w:cs="Arabic Typesetting"/>
          <w:b/>
          <w:lang w:val="sq-AL"/>
        </w:rPr>
        <w:tab/>
      </w:r>
      <w:r w:rsidR="009053BF" w:rsidRPr="009053BF">
        <w:rPr>
          <w:rFonts w:ascii="Century Schoolbook" w:hAnsi="Century Schoolbook" w:cs="Arabic Typesetting"/>
          <w:lang w:val="sq-AL"/>
        </w:rPr>
        <w:t xml:space="preserve">      Ky Kuvend përcjell realizimin e masave t</w:t>
      </w:r>
      <w:r w:rsidR="009053BF">
        <w:rPr>
          <w:rFonts w:ascii="Century Schoolbook" w:hAnsi="Century Schoolbook" w:cs="Arabic Typesetting"/>
          <w:lang w:val="sq-AL"/>
        </w:rPr>
        <w:t>ë</w:t>
      </w:r>
      <w:r w:rsidR="009053BF" w:rsidRPr="009053BF">
        <w:rPr>
          <w:rFonts w:ascii="Century Schoolbook" w:hAnsi="Century Schoolbook" w:cs="Arabic Typesetting"/>
          <w:lang w:val="sq-AL"/>
        </w:rPr>
        <w:t xml:space="preserve"> propozuara n</w:t>
      </w:r>
      <w:r w:rsidR="009053BF">
        <w:rPr>
          <w:rFonts w:ascii="Century Schoolbook" w:hAnsi="Century Schoolbook" w:cs="Arabic Typesetting"/>
          <w:lang w:val="sq-AL"/>
        </w:rPr>
        <w:t>ë</w:t>
      </w:r>
      <w:r w:rsidR="009053BF" w:rsidRPr="009053BF">
        <w:rPr>
          <w:rFonts w:ascii="Century Schoolbook" w:hAnsi="Century Schoolbook" w:cs="Arabic Typesetting"/>
          <w:lang w:val="sq-AL"/>
        </w:rPr>
        <w:t xml:space="preserve"> k</w:t>
      </w:r>
      <w:r w:rsidR="009053BF">
        <w:rPr>
          <w:rFonts w:ascii="Century Schoolbook" w:hAnsi="Century Schoolbook" w:cs="Arabic Typesetting"/>
          <w:lang w:val="sq-AL"/>
        </w:rPr>
        <w:t>ë</w:t>
      </w:r>
      <w:r w:rsidR="009053BF" w:rsidRPr="009053BF">
        <w:rPr>
          <w:rFonts w:ascii="Century Schoolbook" w:hAnsi="Century Schoolbook" w:cs="Arabic Typesetting"/>
          <w:lang w:val="sq-AL"/>
        </w:rPr>
        <w:t>t</w:t>
      </w:r>
      <w:r w:rsidR="009053BF">
        <w:rPr>
          <w:rFonts w:ascii="Century Schoolbook" w:hAnsi="Century Schoolbook" w:cs="Arabic Typesetting"/>
          <w:lang w:val="sq-AL"/>
        </w:rPr>
        <w:t>ë dokument. N</w:t>
      </w:r>
      <w:r w:rsidR="00610B20">
        <w:rPr>
          <w:rFonts w:ascii="Century Schoolbook" w:hAnsi="Century Schoolbook" w:cs="Arabic Typesetting"/>
          <w:lang w:val="sq-AL"/>
        </w:rPr>
        <w:t>ë</w:t>
      </w:r>
      <w:r w:rsidR="009053BF">
        <w:rPr>
          <w:rFonts w:ascii="Century Schoolbook" w:hAnsi="Century Schoolbook" w:cs="Arabic Typesetting"/>
          <w:lang w:val="sq-AL"/>
        </w:rPr>
        <w:t xml:space="preserve"> rast t</w:t>
      </w:r>
      <w:r w:rsidR="00610B20">
        <w:rPr>
          <w:rFonts w:ascii="Century Schoolbook" w:hAnsi="Century Schoolbook" w:cs="Arabic Typesetting"/>
          <w:lang w:val="sq-AL"/>
        </w:rPr>
        <w:t>ë</w:t>
      </w:r>
      <w:r w:rsidR="009053BF">
        <w:rPr>
          <w:rFonts w:ascii="Century Schoolbook" w:hAnsi="Century Schoolbook" w:cs="Arabic Typesetting"/>
          <w:lang w:val="sq-AL"/>
        </w:rPr>
        <w:t xml:space="preserve"> mosrealizimit t</w:t>
      </w:r>
      <w:r w:rsidR="00610B20">
        <w:rPr>
          <w:rFonts w:ascii="Century Schoolbook" w:hAnsi="Century Schoolbook" w:cs="Arabic Typesetting"/>
          <w:lang w:val="sq-AL"/>
        </w:rPr>
        <w:t>ë</w:t>
      </w:r>
      <w:r w:rsidR="009053BF">
        <w:rPr>
          <w:rFonts w:ascii="Century Schoolbook" w:hAnsi="Century Schoolbook" w:cs="Arabic Typesetting"/>
          <w:lang w:val="sq-AL"/>
        </w:rPr>
        <w:t xml:space="preserve"> tyre Kuvendi do t</w:t>
      </w:r>
      <w:r w:rsidR="00610B20">
        <w:rPr>
          <w:rFonts w:ascii="Century Schoolbook" w:hAnsi="Century Schoolbook" w:cs="Arabic Typesetting"/>
          <w:lang w:val="sq-AL"/>
        </w:rPr>
        <w:t>ë</w:t>
      </w:r>
      <w:r w:rsidR="009053BF">
        <w:rPr>
          <w:rFonts w:ascii="Century Schoolbook" w:hAnsi="Century Schoolbook" w:cs="Arabic Typesetting"/>
          <w:lang w:val="sq-AL"/>
        </w:rPr>
        <w:t xml:space="preserve"> ryshqyrtoj</w:t>
      </w:r>
      <w:r w:rsidR="00610B20">
        <w:rPr>
          <w:rFonts w:ascii="Century Schoolbook" w:hAnsi="Century Schoolbook" w:cs="Arabic Typesetting"/>
          <w:lang w:val="sq-AL"/>
        </w:rPr>
        <w:t>ë</w:t>
      </w:r>
      <w:r w:rsidR="009053BF">
        <w:rPr>
          <w:rFonts w:ascii="Century Schoolbook" w:hAnsi="Century Schoolbook" w:cs="Arabic Typesetting"/>
          <w:lang w:val="sq-AL"/>
        </w:rPr>
        <w:t xml:space="preserve"> raportet me institucionet shtetërore</w:t>
      </w:r>
      <w:r w:rsidR="00610B20">
        <w:rPr>
          <w:rFonts w:ascii="Century Schoolbook" w:hAnsi="Century Schoolbook" w:cs="Arabic Typesetting"/>
          <w:lang w:val="sq-AL"/>
        </w:rPr>
        <w:t xml:space="preserve"> dhe do të angazhohet për realizimin e kërkesave në Referendumin e vitit 1992</w:t>
      </w:r>
    </w:p>
    <w:p w:rsidR="009053BF" w:rsidRPr="009053BF" w:rsidRDefault="009053BF" w:rsidP="0062607B">
      <w:pPr>
        <w:spacing w:after="0"/>
        <w:ind w:firstLine="360"/>
        <w:jc w:val="both"/>
        <w:rPr>
          <w:rFonts w:ascii="Century Schoolbook" w:hAnsi="Century Schoolbook" w:cs="Arabic Typesetting"/>
          <w:lang w:val="sq-AL"/>
        </w:rPr>
      </w:pPr>
      <w:r>
        <w:rPr>
          <w:rFonts w:ascii="Century Schoolbook" w:hAnsi="Century Schoolbook" w:cs="Arabic Typesetting"/>
          <w:lang w:val="sq-AL"/>
        </w:rPr>
        <w:tab/>
      </w:r>
      <w:r>
        <w:rPr>
          <w:rFonts w:ascii="Century Schoolbook" w:hAnsi="Century Schoolbook" w:cs="Arabic Typesetting"/>
          <w:lang w:val="sq-AL"/>
        </w:rPr>
        <w:tab/>
      </w:r>
    </w:p>
    <w:p w:rsidR="0062607B" w:rsidRPr="0062607B" w:rsidRDefault="0062607B" w:rsidP="0062607B">
      <w:pPr>
        <w:spacing w:after="0"/>
        <w:ind w:firstLine="36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>
        <w:rPr>
          <w:rFonts w:ascii="Century Schoolbook" w:hAnsi="Century Schoolbook" w:cs="Arabic Typesetting"/>
          <w:b/>
          <w:color w:val="000000"/>
          <w:lang w:val="sq-AL"/>
        </w:rPr>
        <w:tab/>
      </w:r>
    </w:p>
    <w:p w:rsidR="00BD0975" w:rsidRPr="009053BF" w:rsidRDefault="0062607B" w:rsidP="0076166D">
      <w:pPr>
        <w:pStyle w:val="ListParagraph"/>
        <w:spacing w:after="0"/>
        <w:ind w:left="360" w:firstLine="360"/>
        <w:jc w:val="both"/>
        <w:rPr>
          <w:rFonts w:ascii="Century Schoolbook" w:hAnsi="Century Schoolbook" w:cs="Arabic Typesetting"/>
          <w:b/>
          <w:color w:val="000000"/>
          <w:lang w:val="sq-AL"/>
        </w:rPr>
      </w:pPr>
      <w:r w:rsidRPr="009053BF">
        <w:rPr>
          <w:rFonts w:ascii="Century Schoolbook" w:hAnsi="Century Schoolbook" w:cs="Arabic Typesetting"/>
          <w:b/>
          <w:color w:val="000000"/>
          <w:lang w:val="sq-AL"/>
        </w:rPr>
        <w:t xml:space="preserve">Mars, </w:t>
      </w:r>
      <w:r w:rsidR="00DE3753" w:rsidRPr="009053BF">
        <w:rPr>
          <w:rFonts w:ascii="Century Schoolbook" w:hAnsi="Century Schoolbook" w:cs="Arabic Typesetting"/>
          <w:b/>
          <w:color w:val="000000"/>
          <w:lang w:val="sq-AL"/>
        </w:rPr>
        <w:t>2013,</w:t>
      </w:r>
    </w:p>
    <w:p w:rsidR="00DE3753" w:rsidRPr="00681A40" w:rsidRDefault="00DE3753" w:rsidP="0076166D">
      <w:pPr>
        <w:pStyle w:val="ListParagraph"/>
        <w:spacing w:after="0"/>
        <w:ind w:left="36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p w:rsidR="00DE3753" w:rsidRPr="00681A40" w:rsidRDefault="00DE3753" w:rsidP="0076166D">
      <w:pPr>
        <w:pStyle w:val="ListParagraph"/>
        <w:spacing w:after="0"/>
        <w:ind w:left="360" w:firstLine="360"/>
        <w:jc w:val="both"/>
        <w:rPr>
          <w:rFonts w:ascii="Century Schoolbook" w:hAnsi="Century Schoolbook" w:cs="Arabic Typesetting"/>
          <w:color w:val="000000"/>
          <w:lang w:val="sq-AL"/>
        </w:rPr>
      </w:pPr>
    </w:p>
    <w:sectPr w:rsidR="00DE3753" w:rsidRPr="00681A40" w:rsidSect="004B4F9C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DD" w:rsidRDefault="005E44DD" w:rsidP="00594449">
      <w:pPr>
        <w:spacing w:after="0" w:line="240" w:lineRule="auto"/>
      </w:pPr>
      <w:r>
        <w:separator/>
      </w:r>
    </w:p>
  </w:endnote>
  <w:endnote w:type="continuationSeparator" w:id="0">
    <w:p w:rsidR="005E44DD" w:rsidRDefault="005E44DD" w:rsidP="00594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70" w:rsidRDefault="00493D74">
    <w:pPr>
      <w:pStyle w:val="Footer"/>
    </w:pPr>
    <w:r>
      <w:rPr>
        <w:noProof/>
        <w:lang w:val="sq-AL" w:eastAsia="sq-A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3608070</wp:posOffset>
              </wp:positionH>
              <wp:positionV relativeFrom="page">
                <wp:posOffset>9482455</wp:posOffset>
              </wp:positionV>
              <wp:extent cx="562610" cy="238760"/>
              <wp:effectExtent l="15240" t="19685" r="22225" b="177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6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D62770" w:rsidRDefault="005E44D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493D74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3" o:spid="_x0000_s1026" type="#_x0000_t185" style="position:absolute;margin-left:284.1pt;margin-top:746.65pt;width:44.3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" filled="t" strokecolor="gray" strokeweight="2.25pt">
              <v:textbox inset=",0,,0">
                <w:txbxContent>
                  <w:p w:rsidR="00D62770" w:rsidRDefault="005E44D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493D74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q-AL" w:eastAsia="sq-A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9601200</wp:posOffset>
              </wp:positionV>
              <wp:extent cx="5518150" cy="0"/>
              <wp:effectExtent l="14605" t="9525" r="10795" b="952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3D613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8.9pt;margin-top:756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DD" w:rsidRDefault="005E44DD" w:rsidP="00594449">
      <w:pPr>
        <w:spacing w:after="0" w:line="240" w:lineRule="auto"/>
      </w:pPr>
      <w:r>
        <w:separator/>
      </w:r>
    </w:p>
  </w:footnote>
  <w:footnote w:type="continuationSeparator" w:id="0">
    <w:p w:rsidR="005E44DD" w:rsidRDefault="005E44DD" w:rsidP="00594449">
      <w:pPr>
        <w:spacing w:after="0" w:line="240" w:lineRule="auto"/>
      </w:pPr>
      <w:r>
        <w:continuationSeparator/>
      </w:r>
    </w:p>
  </w:footnote>
  <w:footnote w:id="1">
    <w:p w:rsidR="00D62770" w:rsidRPr="007F2E4B" w:rsidRDefault="00D62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</w:rPr>
        <w:t>Plan i Program Vl</w:t>
      </w:r>
      <w:r w:rsidRPr="007F2E4B">
        <w:rPr>
          <w:sz w:val="14"/>
        </w:rPr>
        <w:t>ade SRJ i Vlade R. Srbije za rešavanje krize u opštinama Bujanovac, Preševo i Medvedja</w:t>
      </w:r>
      <w:r>
        <w:rPr>
          <w:sz w:val="14"/>
        </w:rPr>
        <w:t>, usvojen u februarau 2001;</w:t>
      </w:r>
    </w:p>
  </w:footnote>
  <w:footnote w:id="2">
    <w:p w:rsidR="00D62770" w:rsidRPr="007F2E4B" w:rsidRDefault="00D62770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7F2E4B">
        <w:rPr>
          <w:sz w:val="14"/>
        </w:rPr>
        <w:t>Politička Platforma Skupštine Albanskih odbornika Preševske Doline, usvojena 14 februara 2006</w:t>
      </w:r>
      <w:r>
        <w:rPr>
          <w:sz w:val="14"/>
        </w:rPr>
        <w:t>. Skupština je kooridnacioono političko telo, političkih partija koje okupljaju Albance Bujanovca, Preševa i Medvedje;</w:t>
      </w:r>
    </w:p>
  </w:footnote>
  <w:footnote w:id="3">
    <w:p w:rsidR="00D62770" w:rsidRPr="00900C24" w:rsidRDefault="00D62770">
      <w:pPr>
        <w:pStyle w:val="FootnoteText"/>
        <w:rPr>
          <w:sz w:val="14"/>
          <w:szCs w:val="16"/>
        </w:rPr>
      </w:pPr>
      <w:r w:rsidRPr="00900C24">
        <w:rPr>
          <w:rStyle w:val="FootnoteReference"/>
          <w:sz w:val="18"/>
        </w:rPr>
        <w:footnoteRef/>
      </w:r>
      <w:r w:rsidRPr="00900C24">
        <w:rPr>
          <w:sz w:val="18"/>
        </w:rPr>
        <w:t xml:space="preserve"> </w:t>
      </w:r>
      <w:r w:rsidRPr="00900C24">
        <w:rPr>
          <w:sz w:val="14"/>
          <w:szCs w:val="16"/>
        </w:rPr>
        <w:t xml:space="preserve">Uloga medjunarodne zajednice u izgradnji </w:t>
      </w:r>
      <w:r w:rsidRPr="00900C24">
        <w:rPr>
          <w:rFonts w:ascii="Century Schoolbook" w:hAnsi="Century Schoolbook" w:cs="Arabic Typesetting"/>
          <w:color w:val="000000"/>
          <w:sz w:val="14"/>
          <w:szCs w:val="16"/>
        </w:rPr>
        <w:t>mira i stabilnosti regiona je od ključnog značaja;</w:t>
      </w:r>
    </w:p>
  </w:footnote>
  <w:footnote w:id="4">
    <w:p w:rsidR="00D62770" w:rsidRPr="00900C24" w:rsidRDefault="00D62770">
      <w:pPr>
        <w:pStyle w:val="FootnoteText"/>
        <w:rPr>
          <w:sz w:val="14"/>
          <w:szCs w:val="16"/>
        </w:rPr>
      </w:pPr>
      <w:r w:rsidRPr="00900C24">
        <w:rPr>
          <w:rStyle w:val="FootnoteReference"/>
          <w:sz w:val="14"/>
          <w:szCs w:val="16"/>
          <w:vertAlign w:val="baseline"/>
        </w:rPr>
        <w:footnoteRef/>
      </w:r>
      <w:r w:rsidRPr="00900C24">
        <w:rPr>
          <w:sz w:val="14"/>
          <w:szCs w:val="16"/>
        </w:rPr>
        <w:t xml:space="preserve"> The Lav of the Protection of Rights and Freedoms of National Minorities, usvojen od strane Skupštine SRJ, tokom 2001 g;</w:t>
      </w:r>
    </w:p>
  </w:footnote>
  <w:footnote w:id="5">
    <w:p w:rsidR="00D62770" w:rsidRPr="00900C24" w:rsidRDefault="00D62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00C24">
        <w:rPr>
          <w:sz w:val="14"/>
          <w:szCs w:val="16"/>
        </w:rPr>
        <w:t>Framevork Convention for the Protection  of National Minorities, Strazbourg, 1 februar 1995</w:t>
      </w:r>
    </w:p>
  </w:footnote>
  <w:footnote w:id="6">
    <w:p w:rsidR="00D62770" w:rsidRPr="00DA3E44" w:rsidRDefault="00D62770" w:rsidP="005E45BF">
      <w:pPr>
        <w:pStyle w:val="FootnoteText"/>
        <w:rPr>
          <w:sz w:val="12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A3E44">
        <w:rPr>
          <w:sz w:val="12"/>
          <w:szCs w:val="16"/>
        </w:rPr>
        <w:t>al-Qaeda</w:t>
      </w:r>
      <w:r>
        <w:rPr>
          <w:sz w:val="12"/>
          <w:szCs w:val="16"/>
        </w:rPr>
        <w:t xml:space="preserve"> (</w:t>
      </w:r>
      <w:r w:rsidRPr="00DA3E44">
        <w:rPr>
          <w:sz w:val="12"/>
          <w:szCs w:val="16"/>
        </w:rPr>
        <w:t xml:space="preserve"> translation: "The Base</w:t>
      </w:r>
      <w:r>
        <w:rPr>
          <w:sz w:val="12"/>
          <w:szCs w:val="16"/>
        </w:rPr>
        <w:t xml:space="preserve">) </w:t>
      </w:r>
      <w:r w:rsidRPr="00DA3E44">
        <w:rPr>
          <w:sz w:val="12"/>
          <w:szCs w:val="16"/>
        </w:rPr>
        <w:t xml:space="preserve"> is a global militant Islamist organization founded by Osama bin Laden at</w:t>
      </w:r>
      <w:r>
        <w:rPr>
          <w:sz w:val="12"/>
          <w:szCs w:val="16"/>
        </w:rPr>
        <w:t xml:space="preserve"> some point betëeen August 1988 and late 1989,</w:t>
      </w:r>
      <w:r w:rsidRPr="00DA3E44">
        <w:rPr>
          <w:sz w:val="12"/>
          <w:szCs w:val="16"/>
        </w:rPr>
        <w:t xml:space="preserve"> </w:t>
      </w:r>
      <w:r>
        <w:rPr>
          <w:sz w:val="12"/>
          <w:szCs w:val="16"/>
        </w:rPr>
        <w:t>ë</w:t>
      </w:r>
      <w:r w:rsidRPr="00DA3E44">
        <w:rPr>
          <w:sz w:val="12"/>
          <w:szCs w:val="16"/>
        </w:rPr>
        <w:t>ith its origins being traceable to</w:t>
      </w:r>
      <w:r>
        <w:rPr>
          <w:sz w:val="12"/>
          <w:szCs w:val="16"/>
        </w:rPr>
        <w:t xml:space="preserve"> the Soviet Ëar in Afghanistan.</w:t>
      </w:r>
      <w:r w:rsidRPr="00DA3E44">
        <w:rPr>
          <w:sz w:val="12"/>
          <w:szCs w:val="16"/>
        </w:rPr>
        <w:t xml:space="preserve"> It operates as a net</w:t>
      </w:r>
      <w:r>
        <w:rPr>
          <w:sz w:val="12"/>
          <w:szCs w:val="16"/>
        </w:rPr>
        <w:t>ë</w:t>
      </w:r>
      <w:r w:rsidRPr="00DA3E44">
        <w:rPr>
          <w:sz w:val="12"/>
          <w:szCs w:val="16"/>
        </w:rPr>
        <w:t xml:space="preserve">ork comprising both </w:t>
      </w:r>
      <w:r>
        <w:rPr>
          <w:sz w:val="12"/>
          <w:szCs w:val="16"/>
        </w:rPr>
        <w:t>a multinational, stateless army</w:t>
      </w:r>
      <w:r w:rsidRPr="00DA3E44">
        <w:rPr>
          <w:sz w:val="12"/>
          <w:szCs w:val="16"/>
        </w:rPr>
        <w:t xml:space="preserve"> and a radical Sunni Muslim movement calling for global</w:t>
      </w:r>
      <w:r>
        <w:rPr>
          <w:sz w:val="12"/>
          <w:szCs w:val="16"/>
        </w:rPr>
        <w:t xml:space="preserve"> </w:t>
      </w:r>
      <w:r w:rsidRPr="00DA3E44">
        <w:rPr>
          <w:sz w:val="12"/>
          <w:szCs w:val="16"/>
        </w:rPr>
        <w:t xml:space="preserve"> </w:t>
      </w:r>
      <w:r w:rsidRPr="00DA3E44">
        <w:rPr>
          <w:b/>
          <w:sz w:val="12"/>
          <w:szCs w:val="16"/>
        </w:rPr>
        <w:t>Jihad</w:t>
      </w:r>
      <w:r w:rsidRPr="00DA3E44">
        <w:rPr>
          <w:sz w:val="12"/>
          <w:szCs w:val="16"/>
        </w:rPr>
        <w:t xml:space="preserve"> and a strict interpretation of </w:t>
      </w:r>
      <w:r w:rsidRPr="00DA3E44">
        <w:rPr>
          <w:b/>
          <w:sz w:val="12"/>
          <w:szCs w:val="16"/>
        </w:rPr>
        <w:t>sharia la</w:t>
      </w:r>
      <w:r>
        <w:rPr>
          <w:b/>
          <w:sz w:val="12"/>
          <w:szCs w:val="16"/>
        </w:rPr>
        <w:t>ë</w:t>
      </w:r>
      <w:r w:rsidRPr="00DA3E44">
        <w:rPr>
          <w:sz w:val="12"/>
          <w:szCs w:val="16"/>
        </w:rPr>
        <w:t xml:space="preserve"> (</w:t>
      </w:r>
      <w:r>
        <w:rPr>
          <w:sz w:val="12"/>
          <w:szCs w:val="16"/>
        </w:rPr>
        <w:t>Ë</w:t>
      </w:r>
      <w:r w:rsidRPr="00DA3E44">
        <w:rPr>
          <w:sz w:val="12"/>
          <w:szCs w:val="16"/>
        </w:rPr>
        <w:t>ikipedia)</w:t>
      </w:r>
    </w:p>
  </w:footnote>
  <w:footnote w:id="7">
    <w:p w:rsidR="00D62770" w:rsidRPr="0091125D" w:rsidRDefault="00D62770" w:rsidP="005E45BF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91125D">
        <w:rPr>
          <w:sz w:val="14"/>
        </w:rPr>
        <w:t>Zakon o Amnestiji bivših pripadnika OVPMB,</w:t>
      </w:r>
      <w:r>
        <w:rPr>
          <w:sz w:val="14"/>
        </w:rPr>
        <w:t xml:space="preserve"> (Amnestija je Izlaz) </w:t>
      </w:r>
      <w:r w:rsidRPr="0091125D">
        <w:rPr>
          <w:sz w:val="14"/>
        </w:rPr>
        <w:t xml:space="preserve"> usvojen je u Skupštini RS tokom 2001, ima  za cilj oslobodjenje od gonjenja i krivične odgovornosti za sve bivše pripadnike OVPMB koji su do 31 maja 2001 predali dobrovoljno naoružanje,</w:t>
      </w:r>
      <w:r>
        <w:rPr>
          <w:sz w:val="14"/>
        </w:rPr>
        <w:t xml:space="preserve"> i pismo N. Čovića upućeno Gen. Sec. NATO, Robert Serry po ovom pitanju; Program vlade za reševanje krize i Deklaracije o demilitarizaciji iz Končulja;</w:t>
      </w:r>
    </w:p>
  </w:footnote>
  <w:footnote w:id="8">
    <w:p w:rsidR="00D62770" w:rsidRPr="00AA5A3A" w:rsidRDefault="00D62770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AA5A3A">
        <w:rPr>
          <w:sz w:val="14"/>
        </w:rPr>
        <w:t>Sporazum o principima formiranja Multietničke policije iz 2001, potpisan od Vlade RS, OEBS-a i predstavnika Albanaca;</w:t>
      </w:r>
    </w:p>
  </w:footnote>
  <w:footnote w:id="9">
    <w:p w:rsidR="00D62770" w:rsidRPr="00F2179E" w:rsidRDefault="00D62770" w:rsidP="005E4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179E">
        <w:rPr>
          <w:sz w:val="14"/>
        </w:rPr>
        <w:t>Tokom NATO bombardovanja, na teritoriji opštine Preševo, koja je bila pod potpunom kontrolom snaga bezbednosti RS, ubijeno je 11 civila albanaca, a u periodu 2000-2001 na teritoriji Bujanovca ubijeno je dodatnih 12 civila,</w:t>
      </w:r>
    </w:p>
  </w:footnote>
  <w:footnote w:id="10">
    <w:p w:rsidR="00D62770" w:rsidRPr="00F2179E" w:rsidRDefault="00D62770" w:rsidP="005E4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2179E">
        <w:rPr>
          <w:sz w:val="12"/>
        </w:rPr>
        <w:t xml:space="preserve">Nakon premeštanja </w:t>
      </w:r>
      <w:r>
        <w:rPr>
          <w:sz w:val="12"/>
        </w:rPr>
        <w:t>jedinica</w:t>
      </w:r>
      <w:r w:rsidRPr="00F2179E">
        <w:rPr>
          <w:sz w:val="12"/>
        </w:rPr>
        <w:t xml:space="preserve"> vojske i policije sa Kosova</w:t>
      </w:r>
      <w:r>
        <w:rPr>
          <w:sz w:val="12"/>
        </w:rPr>
        <w:t>,</w:t>
      </w:r>
      <w:r w:rsidRPr="00F2179E">
        <w:rPr>
          <w:sz w:val="12"/>
        </w:rPr>
        <w:t xml:space="preserve"> a na osnovu Kumanovskog sporazuma, i njihovim </w:t>
      </w:r>
      <w:r>
        <w:rPr>
          <w:sz w:val="12"/>
        </w:rPr>
        <w:t>raz</w:t>
      </w:r>
      <w:r w:rsidRPr="00F2179E">
        <w:rPr>
          <w:sz w:val="12"/>
        </w:rPr>
        <w:t>meštanjem na teritoriji opština Bujanovac, Preševo i Medvedja, kada je i počela policijska repr</w:t>
      </w:r>
      <w:r>
        <w:rPr>
          <w:sz w:val="12"/>
        </w:rPr>
        <w:t>esija nad civilima, imamo iseljava</w:t>
      </w:r>
      <w:r w:rsidRPr="00F2179E">
        <w:rPr>
          <w:sz w:val="12"/>
        </w:rPr>
        <w:t>nje</w:t>
      </w:r>
      <w:r>
        <w:rPr>
          <w:sz w:val="12"/>
        </w:rPr>
        <w:t xml:space="preserve"> </w:t>
      </w:r>
      <w:r w:rsidRPr="00F2179E">
        <w:rPr>
          <w:sz w:val="12"/>
        </w:rPr>
        <w:t xml:space="preserve"> 6</w:t>
      </w:r>
      <w:r>
        <w:rPr>
          <w:sz w:val="12"/>
        </w:rPr>
        <w:t xml:space="preserve"> albanskih naselja sa 3100 stano</w:t>
      </w:r>
      <w:r w:rsidRPr="00F2179E">
        <w:rPr>
          <w:sz w:val="12"/>
        </w:rPr>
        <w:t xml:space="preserve">vnika u Bujanovcu, u Preševskom Karadaku dodatnik 1500 iseljenih, a u Medvedji, je ostalo svega 500-700 Albanaca koji </w:t>
      </w:r>
      <w:r>
        <w:rPr>
          <w:sz w:val="12"/>
        </w:rPr>
        <w:t>trenutno</w:t>
      </w:r>
      <w:r w:rsidRPr="00F2179E">
        <w:rPr>
          <w:sz w:val="12"/>
        </w:rPr>
        <w:t xml:space="preserve"> žive</w:t>
      </w:r>
      <w:r>
        <w:rPr>
          <w:sz w:val="12"/>
        </w:rPr>
        <w:t>;</w:t>
      </w:r>
    </w:p>
  </w:footnote>
  <w:footnote w:id="11">
    <w:p w:rsidR="00D62770" w:rsidRPr="00FA71BE" w:rsidRDefault="00D62770" w:rsidP="005E45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A71BE">
        <w:rPr>
          <w:sz w:val="14"/>
        </w:rPr>
        <w:t xml:space="preserve">28 novembar je nacionalni praznik svih Albanaca koji se slavi kao </w:t>
      </w:r>
      <w:r>
        <w:rPr>
          <w:sz w:val="14"/>
        </w:rPr>
        <w:t>„</w:t>
      </w:r>
      <w:r w:rsidRPr="00FA71BE">
        <w:rPr>
          <w:sz w:val="14"/>
        </w:rPr>
        <w:t>Dan Zastave</w:t>
      </w:r>
      <w:r>
        <w:rPr>
          <w:sz w:val="14"/>
        </w:rPr>
        <w:t>“</w:t>
      </w:r>
      <w:r w:rsidRPr="00FA71BE">
        <w:rPr>
          <w:sz w:val="14"/>
        </w:rPr>
        <w:t>, odnosno dan kada se Skenderbeg vratio iz Turske u Albaniju</w:t>
      </w:r>
      <w:r>
        <w:rPr>
          <w:sz w:val="14"/>
        </w:rPr>
        <w:t xml:space="preserve"> (1443)</w:t>
      </w:r>
      <w:r w:rsidRPr="00FA71BE">
        <w:rPr>
          <w:sz w:val="14"/>
        </w:rPr>
        <w:t>, te kao</w:t>
      </w:r>
      <w:r>
        <w:rPr>
          <w:sz w:val="14"/>
        </w:rPr>
        <w:t xml:space="preserve"> </w:t>
      </w:r>
      <w:r w:rsidRPr="00FA71BE">
        <w:rPr>
          <w:sz w:val="14"/>
        </w:rPr>
        <w:t xml:space="preserve"> takav ne predstavlja samo državni praznik Albanije</w:t>
      </w:r>
      <w:r>
        <w:t>.</w:t>
      </w:r>
    </w:p>
  </w:footnote>
  <w:footnote w:id="12">
    <w:p w:rsidR="00D62770" w:rsidRPr="00FA71BE" w:rsidRDefault="00D62770" w:rsidP="005E45BF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FA71BE">
        <w:rPr>
          <w:sz w:val="14"/>
        </w:rPr>
        <w:t>Europian Convention for the Protection of Human Rights and Fundamental Freedoms,</w:t>
      </w:r>
      <w:r>
        <w:rPr>
          <w:sz w:val="14"/>
        </w:rPr>
        <w:t xml:space="preserve"> Rome, 4 november, 1950;</w:t>
      </w:r>
    </w:p>
  </w:footnote>
  <w:footnote w:id="13">
    <w:p w:rsidR="00D62770" w:rsidRPr="009F26AB" w:rsidRDefault="00D62770" w:rsidP="005E45BF">
      <w:pPr>
        <w:pStyle w:val="FootnoteText"/>
        <w:rPr>
          <w:sz w:val="12"/>
        </w:rPr>
      </w:pPr>
      <w:r>
        <w:rPr>
          <w:rStyle w:val="FootnoteReference"/>
        </w:rPr>
        <w:footnoteRef/>
      </w:r>
      <w:r>
        <w:t xml:space="preserve">  </w:t>
      </w:r>
      <w:r w:rsidRPr="009F26AB">
        <w:rPr>
          <w:sz w:val="12"/>
        </w:rPr>
        <w:t>12 godina nakon okončanja sukoba u regionu i usvajanja Zakona o Amnestiji, srpski političari za bivše borce OVPMB upotrebljavaju termin teroristi i poredjuju ih sa al-Qaedom;</w:t>
      </w:r>
    </w:p>
  </w:footnote>
  <w:footnote w:id="14">
    <w:p w:rsidR="00D62770" w:rsidRPr="004B6ECA" w:rsidRDefault="00D62770">
      <w:pPr>
        <w:pStyle w:val="FootnoteText"/>
        <w:rPr>
          <w:sz w:val="16"/>
        </w:rPr>
      </w:pPr>
      <w:r w:rsidRPr="004B6ECA">
        <w:rPr>
          <w:rStyle w:val="FootnoteReference"/>
          <w:sz w:val="16"/>
        </w:rPr>
        <w:footnoteRef/>
      </w:r>
      <w:r w:rsidRPr="004B6ECA">
        <w:rPr>
          <w:sz w:val="16"/>
        </w:rPr>
        <w:t xml:space="preserve"> U Bujanovcu je u procesu podržavljenja DP Jugocoop, DP Proleće, a u Preševu DP Bratsvo i DP 7 Juli;</w:t>
      </w:r>
    </w:p>
  </w:footnote>
  <w:footnote w:id="15">
    <w:p w:rsidR="00D62770" w:rsidRPr="007F2E4B" w:rsidRDefault="00D62770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884A6A">
        <w:rPr>
          <w:rFonts w:ascii="Century Schoolbook" w:hAnsi="Century Schoolbook" w:cs="Arabic Typesetting"/>
          <w:color w:val="000000"/>
          <w:sz w:val="14"/>
        </w:rPr>
        <w:t>European Charter of Local Self-Government</w:t>
      </w:r>
      <w:r>
        <w:rPr>
          <w:rFonts w:ascii="Century Schoolbook" w:hAnsi="Century Schoolbook" w:cs="Arabic Typesetting"/>
          <w:color w:val="000000"/>
          <w:sz w:val="14"/>
        </w:rPr>
        <w:t>,Strasbourg, 15 oktober 1985</w:t>
      </w:r>
    </w:p>
  </w:footnote>
  <w:footnote w:id="16">
    <w:p w:rsidR="00D62770" w:rsidRPr="007128AB" w:rsidRDefault="00D62770">
      <w:pPr>
        <w:pStyle w:val="FootnoteText"/>
        <w:rPr>
          <w:sz w:val="14"/>
        </w:rPr>
      </w:pPr>
      <w:r w:rsidRPr="007128AB">
        <w:rPr>
          <w:rStyle w:val="FootnoteReference"/>
          <w:sz w:val="16"/>
        </w:rPr>
        <w:footnoteRef/>
      </w:r>
      <w:r w:rsidRPr="007128AB">
        <w:rPr>
          <w:sz w:val="16"/>
        </w:rPr>
        <w:t xml:space="preserve"> </w:t>
      </w:r>
      <w:r w:rsidRPr="007128AB">
        <w:rPr>
          <w:sz w:val="14"/>
        </w:rPr>
        <w:t>Nacionalni Savet je formiran</w:t>
      </w:r>
      <w:r>
        <w:rPr>
          <w:sz w:val="14"/>
        </w:rPr>
        <w:t xml:space="preserve"> na opštim izborima od</w:t>
      </w:r>
      <w:r w:rsidRPr="007128AB">
        <w:rPr>
          <w:sz w:val="14"/>
        </w:rPr>
        <w:t xml:space="preserve"> 2010</w:t>
      </w:r>
      <w:r>
        <w:rPr>
          <w:sz w:val="14"/>
        </w:rPr>
        <w:t>;</w:t>
      </w:r>
      <w:r w:rsidRPr="007128AB">
        <w:rPr>
          <w:sz w:val="14"/>
        </w:rPr>
        <w:t xml:space="preserve"> </w:t>
      </w:r>
    </w:p>
  </w:footnote>
  <w:footnote w:id="17">
    <w:p w:rsidR="00D62770" w:rsidRPr="00F2179E" w:rsidRDefault="00D62770" w:rsidP="00363CEE">
      <w:pPr>
        <w:pStyle w:val="FootnoteText"/>
        <w:rPr>
          <w:sz w:val="14"/>
        </w:rPr>
      </w:pPr>
      <w:r>
        <w:rPr>
          <w:rStyle w:val="FootnoteReference"/>
        </w:rPr>
        <w:footnoteRef/>
      </w:r>
      <w:r>
        <w:t xml:space="preserve"> </w:t>
      </w:r>
      <w:r w:rsidRPr="00F2179E">
        <w:rPr>
          <w:sz w:val="14"/>
        </w:rPr>
        <w:t>The La</w:t>
      </w:r>
      <w:r>
        <w:rPr>
          <w:sz w:val="14"/>
        </w:rPr>
        <w:t>ë</w:t>
      </w:r>
      <w:r w:rsidRPr="00F2179E">
        <w:rPr>
          <w:sz w:val="14"/>
        </w:rPr>
        <w:t xml:space="preserve"> on National Councils of national Minorities (</w:t>
      </w:r>
      <w:r>
        <w:rPr>
          <w:sz w:val="14"/>
        </w:rPr>
        <w:t>Službeni. Glasnik Republike S</w:t>
      </w:r>
      <w:r w:rsidRPr="00F2179E">
        <w:rPr>
          <w:sz w:val="14"/>
        </w:rPr>
        <w:t>rbije br. 72/2009)</w:t>
      </w:r>
    </w:p>
  </w:footnote>
  <w:footnote w:id="18">
    <w:p w:rsidR="00D62770" w:rsidRPr="00DE3753" w:rsidRDefault="00D62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4957">
        <w:rPr>
          <w:sz w:val="14"/>
        </w:rPr>
        <w:t>Ekonomičje i efikasnije rešenje je upotreba udžbenika iz Albanije i Kosova;</w:t>
      </w:r>
    </w:p>
  </w:footnote>
  <w:footnote w:id="19">
    <w:p w:rsidR="00D62770" w:rsidRPr="00196969" w:rsidRDefault="00D62770" w:rsidP="004A4957">
      <w:pPr>
        <w:pStyle w:val="FootnoteText"/>
        <w:tabs>
          <w:tab w:val="left" w:pos="5287"/>
        </w:tabs>
        <w:rPr>
          <w:sz w:val="14"/>
        </w:rPr>
      </w:pPr>
      <w:r w:rsidRPr="00196969">
        <w:rPr>
          <w:rStyle w:val="FootnoteReference"/>
          <w:sz w:val="14"/>
        </w:rPr>
        <w:footnoteRef/>
      </w:r>
      <w:r w:rsidRPr="00196969">
        <w:rPr>
          <w:sz w:val="14"/>
        </w:rPr>
        <w:t xml:space="preserve"> </w:t>
      </w:r>
      <w:r>
        <w:rPr>
          <w:sz w:val="14"/>
        </w:rPr>
        <w:t xml:space="preserve">  </w:t>
      </w:r>
      <w:r w:rsidR="00F62734">
        <w:rPr>
          <w:sz w:val="14"/>
        </w:rPr>
        <w:t>Apoteka u P</w:t>
      </w:r>
      <w:r w:rsidRPr="00A600D5">
        <w:rPr>
          <w:sz w:val="14"/>
        </w:rPr>
        <w:t xml:space="preserve">reševu </w:t>
      </w:r>
      <w:r w:rsidRPr="00A600D5">
        <w:rPr>
          <w:rFonts w:ascii="Century Schoolbook" w:hAnsi="Century Schoolbook" w:cs="Arabic Typesetting"/>
          <w:color w:val="000000"/>
          <w:sz w:val="14"/>
        </w:rPr>
        <w:t>nije izdvojena kao posebna zdravstvena javna ustanova</w:t>
      </w:r>
      <w:r>
        <w:rPr>
          <w:rFonts w:ascii="Century Schoolbook" w:hAnsi="Century Schoolbook" w:cs="Arabic Typesetting"/>
          <w:color w:val="000000"/>
          <w:sz w:val="14"/>
        </w:rPr>
        <w:t>;</w:t>
      </w:r>
      <w:r>
        <w:rPr>
          <w:rFonts w:ascii="Century Schoolbook" w:hAnsi="Century Schoolbook" w:cs="Arabic Typesetting"/>
          <w:color w:val="000000"/>
          <w:sz w:val="14"/>
        </w:rPr>
        <w:tab/>
      </w:r>
    </w:p>
  </w:footnote>
  <w:footnote w:id="20">
    <w:p w:rsidR="00D62770" w:rsidRPr="00196969" w:rsidRDefault="00D627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6969">
        <w:rPr>
          <w:sz w:val="14"/>
        </w:rPr>
        <w:t>Već nekoliko godina realizacija propovisanog projekta otvaranja porodilišta u Preševu se odlaže nepotrebno</w:t>
      </w:r>
      <w:r>
        <w:rPr>
          <w:sz w:val="14"/>
        </w:rPr>
        <w:t>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3195E"/>
    <w:multiLevelType w:val="hybridMultilevel"/>
    <w:tmpl w:val="57E08E5A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B69AE118">
      <w:numFmt w:val="bullet"/>
      <w:lvlText w:val="-"/>
      <w:lvlJc w:val="left"/>
      <w:pPr>
        <w:ind w:left="1800" w:hanging="360"/>
      </w:pPr>
      <w:rPr>
        <w:rFonts w:ascii="Century Schoolbook" w:eastAsia="Times New Roman" w:hAnsi="Century Schoolbook" w:cs="Arabic Typesetting" w:hint="default"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C5EFD"/>
    <w:multiLevelType w:val="hybridMultilevel"/>
    <w:tmpl w:val="A5C86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1223B"/>
    <w:multiLevelType w:val="hybridMultilevel"/>
    <w:tmpl w:val="F202F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38634D"/>
    <w:multiLevelType w:val="hybridMultilevel"/>
    <w:tmpl w:val="97E6D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042CB"/>
    <w:multiLevelType w:val="hybridMultilevel"/>
    <w:tmpl w:val="F1062522"/>
    <w:lvl w:ilvl="0" w:tplc="AC54C6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655E5"/>
    <w:multiLevelType w:val="hybridMultilevel"/>
    <w:tmpl w:val="D7D006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4624F3"/>
    <w:multiLevelType w:val="hybridMultilevel"/>
    <w:tmpl w:val="7AF6B600"/>
    <w:lvl w:ilvl="0" w:tplc="5F9EC81C">
      <w:start w:val="1"/>
      <w:numFmt w:val="bullet"/>
      <w:lvlText w:val=""/>
      <w:lvlJc w:val="left"/>
      <w:pPr>
        <w:tabs>
          <w:tab w:val="num" w:pos="396"/>
        </w:tabs>
        <w:ind w:left="453" w:hanging="453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385D77C0"/>
    <w:multiLevelType w:val="hybridMultilevel"/>
    <w:tmpl w:val="B62C28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C39D2"/>
    <w:multiLevelType w:val="hybridMultilevel"/>
    <w:tmpl w:val="CF28C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4441BA"/>
    <w:multiLevelType w:val="hybridMultilevel"/>
    <w:tmpl w:val="6BF4040A"/>
    <w:lvl w:ilvl="0" w:tplc="7F4AC6E8">
      <w:start w:val="6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F90A7C"/>
    <w:multiLevelType w:val="hybridMultilevel"/>
    <w:tmpl w:val="2C8EAA56"/>
    <w:lvl w:ilvl="0" w:tplc="4FE0A80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7FEA"/>
    <w:multiLevelType w:val="hybridMultilevel"/>
    <w:tmpl w:val="3F8C4B00"/>
    <w:lvl w:ilvl="0" w:tplc="4AF65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6491C"/>
    <w:multiLevelType w:val="hybridMultilevel"/>
    <w:tmpl w:val="DE7864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B2B2CB1"/>
    <w:multiLevelType w:val="hybridMultilevel"/>
    <w:tmpl w:val="9F588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264AB"/>
    <w:multiLevelType w:val="hybridMultilevel"/>
    <w:tmpl w:val="767C0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9B6607"/>
    <w:multiLevelType w:val="hybridMultilevel"/>
    <w:tmpl w:val="C14E556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5"/>
  </w:num>
  <w:num w:numId="8">
    <w:abstractNumId w:val="10"/>
  </w:num>
  <w:num w:numId="9">
    <w:abstractNumId w:val="2"/>
  </w:num>
  <w:num w:numId="10">
    <w:abstractNumId w:val="0"/>
  </w:num>
  <w:num w:numId="11">
    <w:abstractNumId w:val="1"/>
  </w:num>
  <w:num w:numId="12">
    <w:abstractNumId w:val="15"/>
  </w:num>
  <w:num w:numId="13">
    <w:abstractNumId w:val="14"/>
  </w:num>
  <w:num w:numId="14">
    <w:abstractNumId w:val="6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AE"/>
    <w:rsid w:val="00000B59"/>
    <w:rsid w:val="000214C7"/>
    <w:rsid w:val="00063EBA"/>
    <w:rsid w:val="000710E3"/>
    <w:rsid w:val="0007633D"/>
    <w:rsid w:val="00094ED6"/>
    <w:rsid w:val="000B5D67"/>
    <w:rsid w:val="000C034A"/>
    <w:rsid w:val="000C6280"/>
    <w:rsid w:val="000C7273"/>
    <w:rsid w:val="0010773E"/>
    <w:rsid w:val="00132901"/>
    <w:rsid w:val="00141F2A"/>
    <w:rsid w:val="001421CF"/>
    <w:rsid w:val="00154C1C"/>
    <w:rsid w:val="0016130E"/>
    <w:rsid w:val="001674D9"/>
    <w:rsid w:val="00180D61"/>
    <w:rsid w:val="00184353"/>
    <w:rsid w:val="00196969"/>
    <w:rsid w:val="00225C1A"/>
    <w:rsid w:val="002272CE"/>
    <w:rsid w:val="00230172"/>
    <w:rsid w:val="00256F2D"/>
    <w:rsid w:val="00257D26"/>
    <w:rsid w:val="00267633"/>
    <w:rsid w:val="00283454"/>
    <w:rsid w:val="002A3C77"/>
    <w:rsid w:val="002A5221"/>
    <w:rsid w:val="002C7925"/>
    <w:rsid w:val="002D13DA"/>
    <w:rsid w:val="002F26AD"/>
    <w:rsid w:val="002F57B0"/>
    <w:rsid w:val="00333E69"/>
    <w:rsid w:val="003348EB"/>
    <w:rsid w:val="00363CEE"/>
    <w:rsid w:val="00365DC1"/>
    <w:rsid w:val="003C0B85"/>
    <w:rsid w:val="003C6F0F"/>
    <w:rsid w:val="003E75BC"/>
    <w:rsid w:val="00404C09"/>
    <w:rsid w:val="00407889"/>
    <w:rsid w:val="00415F60"/>
    <w:rsid w:val="004217D7"/>
    <w:rsid w:val="0047163F"/>
    <w:rsid w:val="00493D74"/>
    <w:rsid w:val="004A4957"/>
    <w:rsid w:val="004B0FE2"/>
    <w:rsid w:val="004B4F9C"/>
    <w:rsid w:val="004B6ECA"/>
    <w:rsid w:val="004D4C85"/>
    <w:rsid w:val="004E077F"/>
    <w:rsid w:val="00501EBE"/>
    <w:rsid w:val="0051337A"/>
    <w:rsid w:val="005154CB"/>
    <w:rsid w:val="00541D87"/>
    <w:rsid w:val="005541AD"/>
    <w:rsid w:val="005654C3"/>
    <w:rsid w:val="00571043"/>
    <w:rsid w:val="00594449"/>
    <w:rsid w:val="005A25A9"/>
    <w:rsid w:val="005B327D"/>
    <w:rsid w:val="005B406A"/>
    <w:rsid w:val="005B71CD"/>
    <w:rsid w:val="005C6947"/>
    <w:rsid w:val="005E44DD"/>
    <w:rsid w:val="005E45BF"/>
    <w:rsid w:val="0060114F"/>
    <w:rsid w:val="00602018"/>
    <w:rsid w:val="00610B20"/>
    <w:rsid w:val="006156ED"/>
    <w:rsid w:val="0062607B"/>
    <w:rsid w:val="00646A25"/>
    <w:rsid w:val="00681A40"/>
    <w:rsid w:val="00693DDF"/>
    <w:rsid w:val="006940F5"/>
    <w:rsid w:val="006A1717"/>
    <w:rsid w:val="006B6657"/>
    <w:rsid w:val="006C48AC"/>
    <w:rsid w:val="00702C80"/>
    <w:rsid w:val="007128AB"/>
    <w:rsid w:val="00732E4C"/>
    <w:rsid w:val="007468DD"/>
    <w:rsid w:val="00750121"/>
    <w:rsid w:val="007517BB"/>
    <w:rsid w:val="0076166D"/>
    <w:rsid w:val="007B1DAC"/>
    <w:rsid w:val="007D14E1"/>
    <w:rsid w:val="007F2E4B"/>
    <w:rsid w:val="00833360"/>
    <w:rsid w:val="00843796"/>
    <w:rsid w:val="00843DB8"/>
    <w:rsid w:val="00843E24"/>
    <w:rsid w:val="008440E1"/>
    <w:rsid w:val="008618F3"/>
    <w:rsid w:val="00870230"/>
    <w:rsid w:val="00872986"/>
    <w:rsid w:val="00884A6A"/>
    <w:rsid w:val="00892AFD"/>
    <w:rsid w:val="008B1D9D"/>
    <w:rsid w:val="008B7220"/>
    <w:rsid w:val="008C1181"/>
    <w:rsid w:val="008C3D7B"/>
    <w:rsid w:val="008C6493"/>
    <w:rsid w:val="008E508C"/>
    <w:rsid w:val="008F6AA8"/>
    <w:rsid w:val="00900C24"/>
    <w:rsid w:val="009053BF"/>
    <w:rsid w:val="0091125D"/>
    <w:rsid w:val="00925179"/>
    <w:rsid w:val="009507EB"/>
    <w:rsid w:val="009634D8"/>
    <w:rsid w:val="00990625"/>
    <w:rsid w:val="00996390"/>
    <w:rsid w:val="00997261"/>
    <w:rsid w:val="009B5CBD"/>
    <w:rsid w:val="009C4EE3"/>
    <w:rsid w:val="009D4CE6"/>
    <w:rsid w:val="009E0463"/>
    <w:rsid w:val="009E1E9A"/>
    <w:rsid w:val="009F26AB"/>
    <w:rsid w:val="00A505CD"/>
    <w:rsid w:val="00A55866"/>
    <w:rsid w:val="00A600D5"/>
    <w:rsid w:val="00A9206C"/>
    <w:rsid w:val="00A92CD9"/>
    <w:rsid w:val="00AA5A3A"/>
    <w:rsid w:val="00AC045F"/>
    <w:rsid w:val="00AC0E2A"/>
    <w:rsid w:val="00AC79AE"/>
    <w:rsid w:val="00AE3D8A"/>
    <w:rsid w:val="00AF1F92"/>
    <w:rsid w:val="00AF4EA0"/>
    <w:rsid w:val="00B0754B"/>
    <w:rsid w:val="00B13202"/>
    <w:rsid w:val="00B16FFE"/>
    <w:rsid w:val="00B24885"/>
    <w:rsid w:val="00B354A8"/>
    <w:rsid w:val="00B42E68"/>
    <w:rsid w:val="00B71502"/>
    <w:rsid w:val="00BA11B2"/>
    <w:rsid w:val="00BD0975"/>
    <w:rsid w:val="00BD77CB"/>
    <w:rsid w:val="00BD7D8B"/>
    <w:rsid w:val="00BE3216"/>
    <w:rsid w:val="00BE6161"/>
    <w:rsid w:val="00C542C9"/>
    <w:rsid w:val="00C737C8"/>
    <w:rsid w:val="00C869AE"/>
    <w:rsid w:val="00CA2086"/>
    <w:rsid w:val="00CC240E"/>
    <w:rsid w:val="00CE201C"/>
    <w:rsid w:val="00CF27C3"/>
    <w:rsid w:val="00D10E93"/>
    <w:rsid w:val="00D16A8B"/>
    <w:rsid w:val="00D5364C"/>
    <w:rsid w:val="00D62770"/>
    <w:rsid w:val="00DA3E44"/>
    <w:rsid w:val="00DA77C2"/>
    <w:rsid w:val="00DB677E"/>
    <w:rsid w:val="00DB7B62"/>
    <w:rsid w:val="00DE3753"/>
    <w:rsid w:val="00E12D2A"/>
    <w:rsid w:val="00E4564D"/>
    <w:rsid w:val="00E479E1"/>
    <w:rsid w:val="00E5346B"/>
    <w:rsid w:val="00E97867"/>
    <w:rsid w:val="00EA1B41"/>
    <w:rsid w:val="00EB16F8"/>
    <w:rsid w:val="00EF4A6E"/>
    <w:rsid w:val="00F147C2"/>
    <w:rsid w:val="00F2179E"/>
    <w:rsid w:val="00F3310B"/>
    <w:rsid w:val="00F33C71"/>
    <w:rsid w:val="00F409BE"/>
    <w:rsid w:val="00F454AC"/>
    <w:rsid w:val="00F51F49"/>
    <w:rsid w:val="00F54140"/>
    <w:rsid w:val="00F62734"/>
    <w:rsid w:val="00F667DC"/>
    <w:rsid w:val="00FA0694"/>
    <w:rsid w:val="00FA71BE"/>
    <w:rsid w:val="00FD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8A5C30-C2D1-415D-AB5D-5B24B58D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AFD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F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F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F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F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FD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FD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FD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F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F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A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92AFD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FD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FD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FD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FD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FD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FD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FD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FD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AFD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92AF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892AF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F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892AFD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892AFD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892AF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892AF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2AFD"/>
  </w:style>
  <w:style w:type="paragraph" w:styleId="Quote">
    <w:name w:val="Quote"/>
    <w:basedOn w:val="Normal"/>
    <w:next w:val="Normal"/>
    <w:link w:val="QuoteChar"/>
    <w:uiPriority w:val="29"/>
    <w:qFormat/>
    <w:rsid w:val="00892AF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2AFD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F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F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892AFD"/>
    <w:rPr>
      <w:i/>
      <w:iCs/>
    </w:rPr>
  </w:style>
  <w:style w:type="character" w:styleId="IntenseEmphasis">
    <w:name w:val="Intense Emphasis"/>
    <w:uiPriority w:val="21"/>
    <w:qFormat/>
    <w:rsid w:val="00892AF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892AFD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892AFD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892AFD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AF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94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449"/>
  </w:style>
  <w:style w:type="paragraph" w:styleId="Footer">
    <w:name w:val="footer"/>
    <w:basedOn w:val="Normal"/>
    <w:link w:val="FooterChar"/>
    <w:uiPriority w:val="99"/>
    <w:unhideWhenUsed/>
    <w:rsid w:val="00594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449"/>
  </w:style>
  <w:style w:type="paragraph" w:styleId="BalloonText">
    <w:name w:val="Balloon Text"/>
    <w:basedOn w:val="Normal"/>
    <w:link w:val="BalloonTextChar"/>
    <w:uiPriority w:val="99"/>
    <w:semiHidden/>
    <w:unhideWhenUsed/>
    <w:rsid w:val="008E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1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1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1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11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11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0114F"/>
    <w:rPr>
      <w:vertAlign w:val="superscript"/>
    </w:rPr>
  </w:style>
  <w:style w:type="table" w:styleId="MediumShading2-Accent1">
    <w:name w:val="Medium Shading 2 Accent 1"/>
    <w:basedOn w:val="TableNormal"/>
    <w:uiPriority w:val="64"/>
    <w:rsid w:val="00BE6161"/>
    <w:rPr>
      <w:sz w:val="22"/>
      <w:szCs w:val="22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1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Februar, 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ADC59-42F6-4B1A-955C-C2C48A50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NEOPHODNE    MERE                                                              za  afirmaciju  prava  Albanaca                                                 u  Preševskoj  Dolini</vt:lpstr>
    </vt:vector>
  </TitlesOfParts>
  <Company>Grizli777</Company>
  <LinksUpToDate>false</LinksUpToDate>
  <CharactersWithSpaces>20168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NEOPHODNE    MERE                                                              za  afirmaciju  prava  Albanaca                                                 u  Preševskoj  Dolini</dc:title>
  <dc:subject>Konačna  verzija</dc:subject>
  <dc:creator>PAVILION</dc:creator>
  <cp:lastModifiedBy>KKSH-1</cp:lastModifiedBy>
  <cp:revision>2</cp:revision>
  <cp:lastPrinted>2013-02-07T09:34:00Z</cp:lastPrinted>
  <dcterms:created xsi:type="dcterms:W3CDTF">2015-08-21T07:40:00Z</dcterms:created>
  <dcterms:modified xsi:type="dcterms:W3CDTF">2015-08-21T07:40:00Z</dcterms:modified>
</cp:coreProperties>
</file>